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69DC7" w14:textId="77777777" w:rsidR="00096DC1" w:rsidRPr="001F68C2" w:rsidRDefault="00E56931">
      <w:pPr>
        <w:rPr>
          <w:rFonts w:ascii="Arial" w:eastAsia="Arial" w:hAnsi="Arial" w:cs="Arial"/>
          <w:b/>
          <w:sz w:val="22"/>
          <w:szCs w:val="22"/>
        </w:rPr>
      </w:pPr>
      <w:r w:rsidRPr="001F68C2">
        <w:rPr>
          <w:rFonts w:ascii="Arial" w:eastAsia="Arial" w:hAnsi="Arial" w:cs="Arial"/>
          <w:noProof/>
          <w:color w:val="353744"/>
          <w:sz w:val="22"/>
          <w:szCs w:val="22"/>
        </w:rPr>
        <w:drawing>
          <wp:inline distT="0" distB="0" distL="0" distR="0" wp14:anchorId="1CBB00AA" wp14:editId="4D153301">
            <wp:extent cx="4132833" cy="46362"/>
            <wp:effectExtent l="0" t="0" r="0" b="0"/>
            <wp:docPr id="2" name="image1.png" descr="https://docs.google.com/drawings/d/sNA8RHvF0e9AzoKY3ZObSiw/image?w=624&amp;h=7&amp;rev=4&amp;ac=1&amp;parent=1KA_H7IiPR1NCy3uo55bR-nluKSVS8UKRVf5cmlUjP0Y"/>
            <wp:cNvGraphicFramePr/>
            <a:graphic xmlns:a="http://schemas.openxmlformats.org/drawingml/2006/main">
              <a:graphicData uri="http://schemas.openxmlformats.org/drawingml/2006/picture">
                <pic:pic xmlns:pic="http://schemas.openxmlformats.org/drawingml/2006/picture">
                  <pic:nvPicPr>
                    <pic:cNvPr id="0" name="image1.png" descr="https://docs.google.com/drawings/d/sNA8RHvF0e9AzoKY3ZObSiw/image?w=624&amp;h=7&amp;rev=4&amp;ac=1&amp;parent=1KA_H7IiPR1NCy3uo55bR-nluKSVS8UKRVf5cmlUjP0Y"/>
                    <pic:cNvPicPr preferRelativeResize="0"/>
                  </pic:nvPicPr>
                  <pic:blipFill>
                    <a:blip r:embed="rId7"/>
                    <a:srcRect/>
                    <a:stretch>
                      <a:fillRect/>
                    </a:stretch>
                  </pic:blipFill>
                  <pic:spPr>
                    <a:xfrm>
                      <a:off x="0" y="0"/>
                      <a:ext cx="4132833" cy="46362"/>
                    </a:xfrm>
                    <a:prstGeom prst="rect">
                      <a:avLst/>
                    </a:prstGeom>
                    <a:ln/>
                  </pic:spPr>
                </pic:pic>
              </a:graphicData>
            </a:graphic>
          </wp:inline>
        </w:drawing>
      </w:r>
      <w:r w:rsidRPr="001F68C2">
        <w:rPr>
          <w:rFonts w:ascii="Arial" w:hAnsi="Arial" w:cs="Arial"/>
          <w:noProof/>
          <w:sz w:val="22"/>
          <w:szCs w:val="22"/>
        </w:rPr>
        <w:drawing>
          <wp:anchor distT="0" distB="0" distL="114300" distR="114300" simplePos="0" relativeHeight="251658240" behindDoc="0" locked="0" layoutInCell="1" hidden="0" allowOverlap="1" wp14:anchorId="41527E83" wp14:editId="14CC3691">
            <wp:simplePos x="0" y="0"/>
            <wp:positionH relativeFrom="column">
              <wp:posOffset>-295274</wp:posOffset>
            </wp:positionH>
            <wp:positionV relativeFrom="paragraph">
              <wp:posOffset>66675</wp:posOffset>
            </wp:positionV>
            <wp:extent cx="4516120" cy="1466850"/>
            <wp:effectExtent l="0" t="0" r="0" b="0"/>
            <wp:wrapNone/>
            <wp:docPr id="1"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close up of a logo&#10;&#10;Description automatically generated"/>
                    <pic:cNvPicPr preferRelativeResize="0"/>
                  </pic:nvPicPr>
                  <pic:blipFill>
                    <a:blip r:embed="rId8"/>
                    <a:srcRect/>
                    <a:stretch>
                      <a:fillRect/>
                    </a:stretch>
                  </pic:blipFill>
                  <pic:spPr>
                    <a:xfrm>
                      <a:off x="0" y="0"/>
                      <a:ext cx="4516120" cy="1466850"/>
                    </a:xfrm>
                    <a:prstGeom prst="rect">
                      <a:avLst/>
                    </a:prstGeom>
                    <a:ln/>
                  </pic:spPr>
                </pic:pic>
              </a:graphicData>
            </a:graphic>
          </wp:anchor>
        </w:drawing>
      </w:r>
    </w:p>
    <w:p w14:paraId="4C0FD6DA" w14:textId="77777777" w:rsidR="00096DC1" w:rsidRPr="001F68C2" w:rsidRDefault="00E56931">
      <w:pPr>
        <w:shd w:val="clear" w:color="auto" w:fill="FFFFFF"/>
        <w:jc w:val="right"/>
        <w:rPr>
          <w:rFonts w:ascii="Arial" w:hAnsi="Arial" w:cs="Arial"/>
          <w:sz w:val="22"/>
          <w:szCs w:val="22"/>
        </w:rPr>
      </w:pPr>
      <w:bookmarkStart w:id="0" w:name="_gjdgxs" w:colFirst="0" w:colLast="0"/>
      <w:bookmarkEnd w:id="0"/>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r w:rsidRPr="001F68C2">
        <w:rPr>
          <w:rFonts w:ascii="Arial" w:eastAsia="Calibri" w:hAnsi="Arial" w:cs="Arial"/>
          <w:b/>
          <w:sz w:val="22"/>
          <w:szCs w:val="22"/>
        </w:rPr>
        <w:br/>
      </w:r>
    </w:p>
    <w:p w14:paraId="4DD0A74A" w14:textId="77777777" w:rsidR="00690163" w:rsidRPr="001F68C2" w:rsidRDefault="00690163">
      <w:pPr>
        <w:shd w:val="clear" w:color="auto" w:fill="FFFFFF"/>
        <w:rPr>
          <w:rFonts w:ascii="Arial" w:eastAsia="Arial" w:hAnsi="Arial" w:cs="Arial"/>
          <w:sz w:val="22"/>
          <w:szCs w:val="22"/>
        </w:rPr>
      </w:pPr>
    </w:p>
    <w:p w14:paraId="4005BDF2" w14:textId="77777777" w:rsidR="00690163" w:rsidRPr="001F68C2" w:rsidRDefault="00690163">
      <w:pPr>
        <w:shd w:val="clear" w:color="auto" w:fill="FFFFFF"/>
        <w:rPr>
          <w:rFonts w:ascii="Arial" w:eastAsia="Arial" w:hAnsi="Arial" w:cs="Arial"/>
          <w:sz w:val="22"/>
          <w:szCs w:val="22"/>
        </w:rPr>
      </w:pPr>
    </w:p>
    <w:p w14:paraId="28DE4FAA" w14:textId="77777777" w:rsidR="00937690" w:rsidRDefault="00937690" w:rsidP="0077588A">
      <w:pPr>
        <w:rPr>
          <w:color w:val="222222"/>
          <w:highlight w:val="white"/>
        </w:rPr>
      </w:pPr>
    </w:p>
    <w:p w14:paraId="27D3A7E9" w14:textId="42575393" w:rsidR="00937690" w:rsidRDefault="00937690" w:rsidP="0077588A">
      <w:pPr>
        <w:rPr>
          <w:color w:val="222222"/>
          <w:highlight w:val="white"/>
        </w:rPr>
      </w:pPr>
      <w:r>
        <w:rPr>
          <w:color w:val="222222"/>
          <w:highlight w:val="white"/>
        </w:rPr>
        <w:t>September 29</w:t>
      </w:r>
      <w:r w:rsidRPr="00937690">
        <w:rPr>
          <w:color w:val="222222"/>
          <w:highlight w:val="white"/>
          <w:vertAlign w:val="superscript"/>
        </w:rPr>
        <w:t>th</w:t>
      </w:r>
      <w:r>
        <w:rPr>
          <w:color w:val="222222"/>
          <w:highlight w:val="white"/>
        </w:rPr>
        <w:t>, 2021</w:t>
      </w:r>
    </w:p>
    <w:p w14:paraId="2B2DF643" w14:textId="77777777" w:rsidR="00937690" w:rsidRDefault="00937690" w:rsidP="0077588A">
      <w:pPr>
        <w:rPr>
          <w:color w:val="222222"/>
          <w:highlight w:val="white"/>
        </w:rPr>
      </w:pPr>
    </w:p>
    <w:p w14:paraId="2F4D84C9" w14:textId="77777777" w:rsidR="00937690" w:rsidRDefault="00937690" w:rsidP="0077588A">
      <w:pPr>
        <w:rPr>
          <w:color w:val="222222"/>
          <w:highlight w:val="white"/>
        </w:rPr>
      </w:pPr>
    </w:p>
    <w:p w14:paraId="56CE10E9" w14:textId="7DDD5687" w:rsidR="00937690" w:rsidRDefault="00937690" w:rsidP="0077588A">
      <w:pPr>
        <w:rPr>
          <w:color w:val="222222"/>
          <w:highlight w:val="white"/>
        </w:rPr>
      </w:pPr>
      <w:r>
        <w:rPr>
          <w:color w:val="222222"/>
          <w:highlight w:val="white"/>
        </w:rPr>
        <w:t>Dear Minister,</w:t>
      </w:r>
    </w:p>
    <w:p w14:paraId="4B715320" w14:textId="77777777" w:rsidR="00937690" w:rsidRDefault="00937690" w:rsidP="0077588A">
      <w:pPr>
        <w:rPr>
          <w:color w:val="222222"/>
          <w:highlight w:val="white"/>
        </w:rPr>
      </w:pPr>
    </w:p>
    <w:p w14:paraId="122A6882" w14:textId="5AB64D85" w:rsidR="0077588A" w:rsidRDefault="0077588A" w:rsidP="0077588A">
      <w:pPr>
        <w:rPr>
          <w:color w:val="222222"/>
          <w:highlight w:val="white"/>
        </w:rPr>
      </w:pPr>
      <w:r>
        <w:rPr>
          <w:color w:val="222222"/>
          <w:highlight w:val="white"/>
        </w:rPr>
        <w:t xml:space="preserve">In 2015, the Truth and Reconciliation </w:t>
      </w:r>
      <w:r w:rsidR="00937690">
        <w:rPr>
          <w:color w:val="222222"/>
          <w:highlight w:val="white"/>
        </w:rPr>
        <w:t>Commission</w:t>
      </w:r>
      <w:r>
        <w:rPr>
          <w:color w:val="222222"/>
          <w:highlight w:val="white"/>
        </w:rPr>
        <w:t xml:space="preserve"> put forward </w:t>
      </w:r>
      <w:hyperlink r:id="rId9" w:history="1">
        <w:r w:rsidRPr="00432085">
          <w:rPr>
            <w:rStyle w:val="Hyperlink"/>
            <w:highlight w:val="white"/>
          </w:rPr>
          <w:t xml:space="preserve">94 </w:t>
        </w:r>
        <w:r w:rsidR="00432085" w:rsidRPr="00432085">
          <w:rPr>
            <w:rStyle w:val="Hyperlink"/>
            <w:highlight w:val="white"/>
          </w:rPr>
          <w:t>C</w:t>
        </w:r>
        <w:r w:rsidR="00432085" w:rsidRPr="00432085">
          <w:rPr>
            <w:rStyle w:val="Hyperlink"/>
            <w:highlight w:val="white"/>
          </w:rPr>
          <w:t>all</w:t>
        </w:r>
        <w:r w:rsidRPr="00432085">
          <w:rPr>
            <w:rStyle w:val="Hyperlink"/>
            <w:highlight w:val="white"/>
          </w:rPr>
          <w:t>s</w:t>
        </w:r>
        <w:r w:rsidR="00432085" w:rsidRPr="00432085">
          <w:rPr>
            <w:rStyle w:val="Hyperlink"/>
            <w:highlight w:val="white"/>
          </w:rPr>
          <w:t xml:space="preserve"> to Action</w:t>
        </w:r>
      </w:hyperlink>
      <w:r>
        <w:rPr>
          <w:color w:val="222222"/>
          <w:highlight w:val="white"/>
        </w:rPr>
        <w:t>. As of today,</w:t>
      </w:r>
      <w:hyperlink r:id="rId10">
        <w:r>
          <w:rPr>
            <w:color w:val="1155CC"/>
            <w:highlight w:val="white"/>
            <w:u w:val="single"/>
          </w:rPr>
          <w:t xml:space="preserve"> just thirteen have been put into effect</w:t>
        </w:r>
      </w:hyperlink>
      <w:r>
        <w:rPr>
          <w:color w:val="222222"/>
          <w:highlight w:val="white"/>
        </w:rPr>
        <w:t xml:space="preserve">. </w:t>
      </w:r>
    </w:p>
    <w:p w14:paraId="7FF8084F" w14:textId="77777777" w:rsidR="0077588A" w:rsidRDefault="0077588A" w:rsidP="0077588A">
      <w:pPr>
        <w:rPr>
          <w:color w:val="222222"/>
          <w:highlight w:val="white"/>
        </w:rPr>
      </w:pPr>
    </w:p>
    <w:p w14:paraId="6963AAAB" w14:textId="6034A483" w:rsidR="0077588A" w:rsidRDefault="00432085" w:rsidP="0077588A">
      <w:pPr>
        <w:rPr>
          <w:color w:val="222222"/>
          <w:highlight w:val="white"/>
        </w:rPr>
      </w:pPr>
      <w:r>
        <w:rPr>
          <w:color w:val="222222"/>
          <w:highlight w:val="white"/>
        </w:rPr>
        <w:t>Call to Action</w:t>
      </w:r>
      <w:r w:rsidR="0077588A">
        <w:rPr>
          <w:color w:val="222222"/>
          <w:highlight w:val="white"/>
        </w:rPr>
        <w:t xml:space="preserve"> 80: to Establish a National Day for Truth and Reconciliation as a statutory holiday went into effect on June 3rd, and September 30th, 2021 is the first National Day for Truth &amp; Reconciliation. </w:t>
      </w:r>
    </w:p>
    <w:p w14:paraId="2F975896" w14:textId="77777777" w:rsidR="0077588A" w:rsidRDefault="0077588A" w:rsidP="0077588A">
      <w:pPr>
        <w:rPr>
          <w:color w:val="222222"/>
          <w:highlight w:val="white"/>
        </w:rPr>
      </w:pPr>
    </w:p>
    <w:p w14:paraId="5C2E2CA3" w14:textId="53C553A5" w:rsidR="0077588A" w:rsidRDefault="0077588A" w:rsidP="0077588A">
      <w:pPr>
        <w:rPr>
          <w:color w:val="222222"/>
          <w:highlight w:val="white"/>
        </w:rPr>
      </w:pPr>
      <w:r>
        <w:rPr>
          <w:color w:val="222222"/>
          <w:highlight w:val="white"/>
        </w:rPr>
        <w:t xml:space="preserve">In </w:t>
      </w:r>
      <w:proofErr w:type="spellStart"/>
      <w:r>
        <w:rPr>
          <w:color w:val="222222"/>
          <w:highlight w:val="white"/>
        </w:rPr>
        <w:t>honour</w:t>
      </w:r>
      <w:proofErr w:type="spellEnd"/>
      <w:r>
        <w:rPr>
          <w:color w:val="222222"/>
          <w:highlight w:val="white"/>
        </w:rPr>
        <w:t xml:space="preserve"> of this day, and in recognition of Canada’s long and horrific genocidal policies towards First Nations, Métis and Inuit Peoples, </w:t>
      </w:r>
      <w:r w:rsidR="000B2101">
        <w:rPr>
          <w:color w:val="222222"/>
          <w:highlight w:val="white"/>
        </w:rPr>
        <w:t>I</w:t>
      </w:r>
      <w:r>
        <w:rPr>
          <w:color w:val="222222"/>
          <w:highlight w:val="white"/>
        </w:rPr>
        <w:t xml:space="preserve"> call for Canada’s politicians to take immediate action on the remaining 81 </w:t>
      </w:r>
      <w:r w:rsidR="00432085">
        <w:rPr>
          <w:color w:val="222222"/>
          <w:highlight w:val="white"/>
        </w:rPr>
        <w:t>Calls to Action</w:t>
      </w:r>
      <w:r>
        <w:rPr>
          <w:color w:val="222222"/>
          <w:highlight w:val="white"/>
        </w:rPr>
        <w:t xml:space="preserve"> of the Truth and Reconciliation </w:t>
      </w:r>
      <w:r w:rsidR="00937690">
        <w:rPr>
          <w:color w:val="222222"/>
          <w:highlight w:val="white"/>
        </w:rPr>
        <w:t>Commission</w:t>
      </w:r>
      <w:r>
        <w:rPr>
          <w:color w:val="222222"/>
          <w:highlight w:val="white"/>
        </w:rPr>
        <w:t xml:space="preserve">. Canadians must not be silent, and we must </w:t>
      </w:r>
      <w:proofErr w:type="gramStart"/>
      <w:r>
        <w:rPr>
          <w:color w:val="222222"/>
          <w:highlight w:val="white"/>
        </w:rPr>
        <w:t>take action</w:t>
      </w:r>
      <w:proofErr w:type="gramEnd"/>
      <w:r>
        <w:rPr>
          <w:color w:val="222222"/>
          <w:highlight w:val="white"/>
        </w:rPr>
        <w:t xml:space="preserve"> now. These </w:t>
      </w:r>
      <w:r w:rsidR="00432085">
        <w:rPr>
          <w:color w:val="222222"/>
          <w:highlight w:val="white"/>
        </w:rPr>
        <w:t>Calls to Action</w:t>
      </w:r>
      <w:r>
        <w:rPr>
          <w:color w:val="222222"/>
          <w:highlight w:val="white"/>
        </w:rPr>
        <w:t xml:space="preserve"> are basic human rights. </w:t>
      </w:r>
    </w:p>
    <w:p w14:paraId="72734141" w14:textId="77777777" w:rsidR="0077588A" w:rsidRDefault="0077588A" w:rsidP="0077588A">
      <w:pPr>
        <w:rPr>
          <w:color w:val="222222"/>
          <w:highlight w:val="white"/>
        </w:rPr>
      </w:pPr>
    </w:p>
    <w:p w14:paraId="4A9B44DC" w14:textId="4F3DACDD" w:rsidR="0077588A" w:rsidRDefault="0077588A" w:rsidP="0077588A">
      <w:pPr>
        <w:rPr>
          <w:color w:val="222222"/>
          <w:highlight w:val="white"/>
        </w:rPr>
      </w:pPr>
      <w:r>
        <w:rPr>
          <w:color w:val="222222"/>
          <w:highlight w:val="white"/>
        </w:rPr>
        <w:t xml:space="preserve">More than 150,000 First Nations, Métis, and Inuit children were placed in schools between the 1870s and 1990s and in May 2021, new proof of the horrors of these institutions confirmed what communities already knew about the number of children who were buried in unmarked or mass graves. </w:t>
      </w:r>
      <w:r>
        <w:rPr>
          <w:b/>
          <w:color w:val="222222"/>
          <w:highlight w:val="white"/>
        </w:rPr>
        <w:t xml:space="preserve">Of the five </w:t>
      </w:r>
      <w:r w:rsidR="00432085">
        <w:rPr>
          <w:b/>
          <w:color w:val="222222"/>
          <w:highlight w:val="white"/>
        </w:rPr>
        <w:t>Calls to Action</w:t>
      </w:r>
      <w:r>
        <w:rPr>
          <w:b/>
          <w:color w:val="222222"/>
          <w:highlight w:val="white"/>
        </w:rPr>
        <w:t xml:space="preserve"> related to Child Welfare, not a single one has been completed.</w:t>
      </w:r>
      <w:r>
        <w:rPr>
          <w:color w:val="222222"/>
          <w:highlight w:val="white"/>
        </w:rPr>
        <w:t xml:space="preserve"> These are: Reduce the number of Aboriginal children in care; Publish annual reports on the number of Aboriginal children in care; Implement Jordan's Principle; Establish national standards for Aboriginal child apprehension and custody cases; Develop culturally appropriate parenting programs for Aboriginal families. </w:t>
      </w:r>
      <w:r>
        <w:rPr>
          <w:b/>
          <w:color w:val="222222"/>
          <w:highlight w:val="white"/>
        </w:rPr>
        <w:t xml:space="preserve">Of the seven </w:t>
      </w:r>
      <w:r w:rsidR="00432085">
        <w:rPr>
          <w:b/>
          <w:color w:val="222222"/>
          <w:highlight w:val="white"/>
        </w:rPr>
        <w:t>Calls to Action</w:t>
      </w:r>
      <w:bookmarkStart w:id="1" w:name="_GoBack"/>
      <w:bookmarkEnd w:id="1"/>
      <w:r>
        <w:rPr>
          <w:b/>
          <w:color w:val="222222"/>
          <w:highlight w:val="white"/>
        </w:rPr>
        <w:t xml:space="preserve"> related to Education, not a single one has been completed.</w:t>
      </w:r>
      <w:r>
        <w:rPr>
          <w:color w:val="222222"/>
          <w:highlight w:val="white"/>
        </w:rPr>
        <w:t xml:space="preserve"> These are: Repeal the 'Spanking Law'; Eliminate educational and employment gaps; Eliminate the discrepancy in federal education funding between on-reserve and off-reserve students; Publish annual reports on education funding and educational and income attainments; Draft new Aboriginal education legislation; Provide adequate funding for First Nations students seeking post-secondary education; Develop culturally appropriate early childhood education programs.</w:t>
      </w:r>
    </w:p>
    <w:p w14:paraId="41AD9BA4" w14:textId="77777777" w:rsidR="0077588A" w:rsidRDefault="0077588A" w:rsidP="0077588A">
      <w:pPr>
        <w:rPr>
          <w:color w:val="222222"/>
          <w:highlight w:val="white"/>
        </w:rPr>
      </w:pPr>
    </w:p>
    <w:p w14:paraId="3C38B5C0" w14:textId="115F2F38" w:rsidR="0077588A" w:rsidRDefault="000B2101" w:rsidP="0077588A">
      <w:pPr>
        <w:rPr>
          <w:highlight w:val="white"/>
        </w:rPr>
      </w:pPr>
      <w:r>
        <w:rPr>
          <w:highlight w:val="white"/>
        </w:rPr>
        <w:t xml:space="preserve">I am one of over 1,000 members of the Documentary Organization of Canada (DOC). </w:t>
      </w:r>
      <w:r w:rsidR="0077588A">
        <w:rPr>
          <w:highlight w:val="white"/>
        </w:rPr>
        <w:t xml:space="preserve">For the past 38 years, DOC has been the voice of and leading advocate for Canada’s independent documentary community. With 6 chapters from coast to coast, DOC is a community that </w:t>
      </w:r>
      <w:r w:rsidR="0077588A">
        <w:rPr>
          <w:highlight w:val="white"/>
        </w:rPr>
        <w:lastRenderedPageBreak/>
        <w:t xml:space="preserve">connects and strengthens documentarians across the country and our work drives critical thinking about the ethics, practice, and aesthetics of documentary storytelling. DOC is committed towards making our best efforts to incorporate the 94 calls to action from the Truth and Reconciliation Commission within our organization, including Calls to Action </w:t>
      </w:r>
      <w:hyperlink r:id="rId11">
        <w:r w:rsidR="0077588A">
          <w:rPr>
            <w:color w:val="1155CC"/>
            <w:highlight w:val="white"/>
            <w:u w:val="single"/>
          </w:rPr>
          <w:t>84</w:t>
        </w:r>
      </w:hyperlink>
      <w:r w:rsidR="0077588A">
        <w:rPr>
          <w:highlight w:val="white"/>
        </w:rPr>
        <w:t xml:space="preserve">, </w:t>
      </w:r>
      <w:hyperlink r:id="rId12">
        <w:r w:rsidR="0077588A">
          <w:rPr>
            <w:color w:val="1155CC"/>
            <w:highlight w:val="white"/>
            <w:u w:val="single"/>
          </w:rPr>
          <w:t>85</w:t>
        </w:r>
      </w:hyperlink>
      <w:r w:rsidR="0077588A">
        <w:rPr>
          <w:highlight w:val="white"/>
        </w:rPr>
        <w:t xml:space="preserve">, </w:t>
      </w:r>
      <w:hyperlink r:id="rId13">
        <w:r w:rsidR="0077588A">
          <w:rPr>
            <w:color w:val="1155CC"/>
            <w:highlight w:val="white"/>
            <w:u w:val="single"/>
          </w:rPr>
          <w:t>86</w:t>
        </w:r>
      </w:hyperlink>
      <w:r w:rsidR="0077588A">
        <w:rPr>
          <w:highlight w:val="white"/>
        </w:rPr>
        <w:t>.</w:t>
      </w:r>
    </w:p>
    <w:p w14:paraId="1D4C64DC" w14:textId="16C6113C" w:rsidR="00937690" w:rsidRDefault="00937690" w:rsidP="0077588A">
      <w:pPr>
        <w:rPr>
          <w:highlight w:val="white"/>
        </w:rPr>
      </w:pPr>
    </w:p>
    <w:p w14:paraId="478FDEF2" w14:textId="7568D3EF" w:rsidR="00937690" w:rsidRDefault="00937690" w:rsidP="0077588A">
      <w:pPr>
        <w:rPr>
          <w:highlight w:val="white"/>
        </w:rPr>
      </w:pPr>
    </w:p>
    <w:p w14:paraId="519778DA" w14:textId="6D6CAD1D" w:rsidR="00937690" w:rsidRDefault="000B2101" w:rsidP="0077588A">
      <w:pPr>
        <w:rPr>
          <w:highlight w:val="white"/>
        </w:rPr>
      </w:pPr>
      <w:r>
        <w:rPr>
          <w:highlight w:val="white"/>
        </w:rPr>
        <w:t>Sincerely</w:t>
      </w:r>
      <w:r w:rsidR="00937690">
        <w:rPr>
          <w:highlight w:val="white"/>
        </w:rPr>
        <w:t>,</w:t>
      </w:r>
    </w:p>
    <w:p w14:paraId="48376FEA" w14:textId="55C328D6" w:rsidR="00937690" w:rsidRDefault="00937690" w:rsidP="0077588A">
      <w:pPr>
        <w:rPr>
          <w:highlight w:val="white"/>
        </w:rPr>
      </w:pPr>
    </w:p>
    <w:p w14:paraId="3B028484" w14:textId="6AA28F92" w:rsidR="00937690" w:rsidRDefault="00937690" w:rsidP="0077588A">
      <w:pPr>
        <w:rPr>
          <w:highlight w:val="white"/>
        </w:rPr>
      </w:pPr>
    </w:p>
    <w:p w14:paraId="796AC926" w14:textId="625E2255" w:rsidR="00937690" w:rsidRDefault="00937690" w:rsidP="0077588A">
      <w:pPr>
        <w:rPr>
          <w:highlight w:val="white"/>
        </w:rPr>
      </w:pPr>
    </w:p>
    <w:p w14:paraId="46A3B2D6" w14:textId="45380BD3" w:rsidR="00690163" w:rsidRPr="001F68C2" w:rsidRDefault="00690163" w:rsidP="0077588A">
      <w:pPr>
        <w:shd w:val="clear" w:color="auto" w:fill="FFFFFF"/>
        <w:rPr>
          <w:rFonts w:ascii="Arial" w:hAnsi="Arial" w:cs="Arial"/>
          <w:sz w:val="22"/>
          <w:szCs w:val="22"/>
        </w:rPr>
      </w:pPr>
    </w:p>
    <w:sectPr w:rsidR="00690163" w:rsidRPr="001F68C2">
      <w:headerReference w:type="default" r:id="rId14"/>
      <w:footerReference w:type="even" r:id="rId15"/>
      <w:footerReference w:type="default" r:id="rId16"/>
      <w:pgSz w:w="12240" w:h="15840"/>
      <w:pgMar w:top="1440" w:right="1440" w:bottom="1440" w:left="1440" w:header="68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F6D6B" w14:textId="77777777" w:rsidR="001952D5" w:rsidRDefault="001952D5">
      <w:r>
        <w:separator/>
      </w:r>
    </w:p>
  </w:endnote>
  <w:endnote w:type="continuationSeparator" w:id="0">
    <w:p w14:paraId="444D5B2C" w14:textId="77777777" w:rsidR="001952D5" w:rsidRDefault="0019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5A35" w14:textId="77777777" w:rsidR="00096DC1" w:rsidRDefault="00E5693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2EC8EB4" w14:textId="77777777" w:rsidR="00096DC1" w:rsidRDefault="00096DC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8B106" w14:textId="77777777" w:rsidR="00096DC1" w:rsidRPr="0077588A" w:rsidRDefault="00E56931">
    <w:pPr>
      <w:jc w:val="center"/>
      <w:rPr>
        <w:rFonts w:ascii="Garamond" w:eastAsia="Garamond" w:hAnsi="Garamond" w:cs="Garamond"/>
        <w:color w:val="A7A7A7"/>
        <w:sz w:val="19"/>
        <w:szCs w:val="19"/>
        <w:lang w:val="fr-CA"/>
      </w:rPr>
    </w:pPr>
    <w:r w:rsidRPr="0077588A">
      <w:rPr>
        <w:rFonts w:ascii="Garamond" w:eastAsia="Garamond" w:hAnsi="Garamond" w:cs="Garamond"/>
        <w:color w:val="A7A7A7"/>
        <w:sz w:val="19"/>
        <w:szCs w:val="19"/>
        <w:lang w:val="fr-CA"/>
      </w:rPr>
      <w:t>Documentary Organization of Canada | Association des documentaristes du Canada</w:t>
    </w:r>
  </w:p>
  <w:p w14:paraId="385C0CB8" w14:textId="77777777" w:rsidR="00096DC1" w:rsidRPr="0077588A" w:rsidRDefault="00E56931">
    <w:pPr>
      <w:pBdr>
        <w:top w:val="nil"/>
        <w:left w:val="nil"/>
        <w:bottom w:val="nil"/>
        <w:right w:val="nil"/>
        <w:between w:val="nil"/>
      </w:pBdr>
      <w:tabs>
        <w:tab w:val="center" w:pos="4680"/>
        <w:tab w:val="right" w:pos="9360"/>
      </w:tabs>
      <w:jc w:val="center"/>
      <w:rPr>
        <w:rFonts w:ascii="Garamond" w:eastAsia="Garamond" w:hAnsi="Garamond" w:cs="Garamond"/>
        <w:color w:val="000000"/>
        <w:sz w:val="20"/>
        <w:szCs w:val="20"/>
        <w:lang w:val="fr-CA"/>
      </w:rPr>
    </w:pPr>
    <w:r w:rsidRPr="0077588A">
      <w:rPr>
        <w:rFonts w:ascii="Garamond" w:eastAsia="Garamond" w:hAnsi="Garamond" w:cs="Garamond"/>
        <w:color w:val="A7A7A7"/>
        <w:sz w:val="19"/>
        <w:szCs w:val="19"/>
        <w:lang w:val="fr-CA"/>
      </w:rPr>
      <w:t>info@docorg.ca | www.docorg.ca</w:t>
    </w:r>
  </w:p>
  <w:p w14:paraId="3E60CB02" w14:textId="77777777" w:rsidR="00096DC1" w:rsidRDefault="00E56931">
    <w:pPr>
      <w:pBdr>
        <w:top w:val="nil"/>
        <w:left w:val="nil"/>
        <w:bottom w:val="nil"/>
        <w:right w:val="nil"/>
        <w:between w:val="nil"/>
      </w:pBdr>
      <w:tabs>
        <w:tab w:val="center" w:pos="4320"/>
        <w:tab w:val="right" w:pos="864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690163">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258CF3D" w14:textId="77777777" w:rsidR="00096DC1" w:rsidRDefault="00096DC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CBF59" w14:textId="77777777" w:rsidR="001952D5" w:rsidRDefault="001952D5">
      <w:r>
        <w:separator/>
      </w:r>
    </w:p>
  </w:footnote>
  <w:footnote w:type="continuationSeparator" w:id="0">
    <w:p w14:paraId="7BC85372" w14:textId="77777777" w:rsidR="001952D5" w:rsidRDefault="00195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5096E" w14:textId="77777777" w:rsidR="00096DC1" w:rsidRDefault="00096DC1">
    <w:pPr>
      <w:pBdr>
        <w:top w:val="nil"/>
        <w:left w:val="nil"/>
        <w:bottom w:val="nil"/>
        <w:right w:val="nil"/>
        <w:between w:val="nil"/>
      </w:pBdr>
      <w:tabs>
        <w:tab w:val="right" w:pos="9270"/>
      </w:tabs>
      <w:jc w:val="right"/>
      <w:rPr>
        <w:rFonts w:ascii="Avenir" w:eastAsia="Avenir" w:hAnsi="Avenir" w:cs="Aveni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97DB5"/>
    <w:multiLevelType w:val="multilevel"/>
    <w:tmpl w:val="A2505D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8B732B"/>
    <w:multiLevelType w:val="hybridMultilevel"/>
    <w:tmpl w:val="92A6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C1"/>
    <w:rsid w:val="00041C66"/>
    <w:rsid w:val="00096DC1"/>
    <w:rsid w:val="000A01C3"/>
    <w:rsid w:val="000B2101"/>
    <w:rsid w:val="00107668"/>
    <w:rsid w:val="001952D5"/>
    <w:rsid w:val="001F1A0C"/>
    <w:rsid w:val="001F68C2"/>
    <w:rsid w:val="00432085"/>
    <w:rsid w:val="004330BB"/>
    <w:rsid w:val="00690163"/>
    <w:rsid w:val="007376FA"/>
    <w:rsid w:val="0077588A"/>
    <w:rsid w:val="00796F34"/>
    <w:rsid w:val="007D4E90"/>
    <w:rsid w:val="007E70F7"/>
    <w:rsid w:val="0080478D"/>
    <w:rsid w:val="00823BC1"/>
    <w:rsid w:val="00936A8C"/>
    <w:rsid w:val="00937690"/>
    <w:rsid w:val="00A76D5A"/>
    <w:rsid w:val="00A93FAE"/>
    <w:rsid w:val="00E56931"/>
    <w:rsid w:val="00EF0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A5D1E"/>
  <w15:docId w15:val="{E15A147C-E456-8143-9E57-CD5F95AD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07668"/>
    <w:rPr>
      <w:sz w:val="16"/>
      <w:szCs w:val="16"/>
    </w:rPr>
  </w:style>
  <w:style w:type="paragraph" w:styleId="CommentText">
    <w:name w:val="annotation text"/>
    <w:basedOn w:val="Normal"/>
    <w:link w:val="CommentTextChar"/>
    <w:uiPriority w:val="99"/>
    <w:semiHidden/>
    <w:unhideWhenUsed/>
    <w:rsid w:val="00107668"/>
    <w:rPr>
      <w:sz w:val="20"/>
      <w:szCs w:val="20"/>
    </w:rPr>
  </w:style>
  <w:style w:type="character" w:customStyle="1" w:styleId="CommentTextChar">
    <w:name w:val="Comment Text Char"/>
    <w:basedOn w:val="DefaultParagraphFont"/>
    <w:link w:val="CommentText"/>
    <w:uiPriority w:val="99"/>
    <w:semiHidden/>
    <w:rsid w:val="00107668"/>
    <w:rPr>
      <w:sz w:val="20"/>
      <w:szCs w:val="20"/>
    </w:rPr>
  </w:style>
  <w:style w:type="paragraph" w:styleId="CommentSubject">
    <w:name w:val="annotation subject"/>
    <w:basedOn w:val="CommentText"/>
    <w:next w:val="CommentText"/>
    <w:link w:val="CommentSubjectChar"/>
    <w:uiPriority w:val="99"/>
    <w:semiHidden/>
    <w:unhideWhenUsed/>
    <w:rsid w:val="00107668"/>
    <w:rPr>
      <w:b/>
      <w:bCs/>
    </w:rPr>
  </w:style>
  <w:style w:type="character" w:customStyle="1" w:styleId="CommentSubjectChar">
    <w:name w:val="Comment Subject Char"/>
    <w:basedOn w:val="CommentTextChar"/>
    <w:link w:val="CommentSubject"/>
    <w:uiPriority w:val="99"/>
    <w:semiHidden/>
    <w:rsid w:val="00107668"/>
    <w:rPr>
      <w:b/>
      <w:bCs/>
      <w:sz w:val="20"/>
      <w:szCs w:val="20"/>
    </w:rPr>
  </w:style>
  <w:style w:type="paragraph" w:styleId="BalloonText">
    <w:name w:val="Balloon Text"/>
    <w:basedOn w:val="Normal"/>
    <w:link w:val="BalloonTextChar"/>
    <w:uiPriority w:val="99"/>
    <w:semiHidden/>
    <w:unhideWhenUsed/>
    <w:rsid w:val="00107668"/>
    <w:rPr>
      <w:sz w:val="18"/>
      <w:szCs w:val="18"/>
    </w:rPr>
  </w:style>
  <w:style w:type="character" w:customStyle="1" w:styleId="BalloonTextChar">
    <w:name w:val="Balloon Text Char"/>
    <w:basedOn w:val="DefaultParagraphFont"/>
    <w:link w:val="BalloonText"/>
    <w:uiPriority w:val="99"/>
    <w:semiHidden/>
    <w:rsid w:val="00107668"/>
    <w:rPr>
      <w:sz w:val="18"/>
      <w:szCs w:val="18"/>
    </w:rPr>
  </w:style>
  <w:style w:type="paragraph" w:styleId="ListParagraph">
    <w:name w:val="List Paragraph"/>
    <w:basedOn w:val="Normal"/>
    <w:uiPriority w:val="34"/>
    <w:qFormat/>
    <w:rsid w:val="007376FA"/>
    <w:pPr>
      <w:ind w:left="720"/>
      <w:contextualSpacing/>
    </w:pPr>
  </w:style>
  <w:style w:type="character" w:styleId="Hyperlink">
    <w:name w:val="Hyperlink"/>
    <w:basedOn w:val="DefaultParagraphFont"/>
    <w:uiPriority w:val="99"/>
    <w:unhideWhenUsed/>
    <w:rsid w:val="007E70F7"/>
    <w:rPr>
      <w:color w:val="0000FF" w:themeColor="hyperlink"/>
      <w:u w:val="single"/>
    </w:rPr>
  </w:style>
  <w:style w:type="character" w:styleId="UnresolvedMention">
    <w:name w:val="Unresolved Mention"/>
    <w:basedOn w:val="DefaultParagraphFont"/>
    <w:uiPriority w:val="99"/>
    <w:semiHidden/>
    <w:unhideWhenUsed/>
    <w:rsid w:val="007E70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92261">
      <w:bodyDiv w:val="1"/>
      <w:marLeft w:val="0"/>
      <w:marRight w:val="0"/>
      <w:marTop w:val="0"/>
      <w:marBottom w:val="0"/>
      <w:divBdr>
        <w:top w:val="none" w:sz="0" w:space="0" w:color="auto"/>
        <w:left w:val="none" w:sz="0" w:space="0" w:color="auto"/>
        <w:bottom w:val="none" w:sz="0" w:space="0" w:color="auto"/>
        <w:right w:val="none" w:sz="0" w:space="0" w:color="auto"/>
      </w:divBdr>
      <w:divsChild>
        <w:div w:id="910237888">
          <w:marLeft w:val="0"/>
          <w:marRight w:val="0"/>
          <w:marTop w:val="0"/>
          <w:marBottom w:val="0"/>
          <w:divBdr>
            <w:top w:val="none" w:sz="0" w:space="0" w:color="auto"/>
            <w:left w:val="none" w:sz="0" w:space="0" w:color="auto"/>
            <w:bottom w:val="none" w:sz="0" w:space="0" w:color="auto"/>
            <w:right w:val="none" w:sz="0" w:space="0" w:color="auto"/>
          </w:divBdr>
        </w:div>
        <w:div w:id="1929581283">
          <w:marLeft w:val="0"/>
          <w:marRight w:val="0"/>
          <w:marTop w:val="0"/>
          <w:marBottom w:val="0"/>
          <w:divBdr>
            <w:top w:val="none" w:sz="0" w:space="0" w:color="auto"/>
            <w:left w:val="none" w:sz="0" w:space="0" w:color="auto"/>
            <w:bottom w:val="none" w:sz="0" w:space="0" w:color="auto"/>
            <w:right w:val="none" w:sz="0" w:space="0" w:color="auto"/>
          </w:divBdr>
        </w:div>
        <w:div w:id="357586050">
          <w:marLeft w:val="0"/>
          <w:marRight w:val="0"/>
          <w:marTop w:val="0"/>
          <w:marBottom w:val="0"/>
          <w:divBdr>
            <w:top w:val="none" w:sz="0" w:space="0" w:color="auto"/>
            <w:left w:val="none" w:sz="0" w:space="0" w:color="auto"/>
            <w:bottom w:val="none" w:sz="0" w:space="0" w:color="auto"/>
            <w:right w:val="none" w:sz="0" w:space="0" w:color="auto"/>
          </w:divBdr>
        </w:div>
      </w:divsChild>
    </w:div>
    <w:div w:id="981693422">
      <w:bodyDiv w:val="1"/>
      <w:marLeft w:val="0"/>
      <w:marRight w:val="0"/>
      <w:marTop w:val="0"/>
      <w:marBottom w:val="0"/>
      <w:divBdr>
        <w:top w:val="none" w:sz="0" w:space="0" w:color="auto"/>
        <w:left w:val="none" w:sz="0" w:space="0" w:color="auto"/>
        <w:bottom w:val="none" w:sz="0" w:space="0" w:color="auto"/>
        <w:right w:val="none" w:sz="0" w:space="0" w:color="auto"/>
      </w:divBdr>
      <w:divsChild>
        <w:div w:id="431826384">
          <w:marLeft w:val="0"/>
          <w:marRight w:val="0"/>
          <w:marTop w:val="0"/>
          <w:marBottom w:val="0"/>
          <w:divBdr>
            <w:top w:val="none" w:sz="0" w:space="0" w:color="auto"/>
            <w:left w:val="none" w:sz="0" w:space="0" w:color="auto"/>
            <w:bottom w:val="none" w:sz="0" w:space="0" w:color="auto"/>
            <w:right w:val="none" w:sz="0" w:space="0" w:color="auto"/>
          </w:divBdr>
        </w:div>
        <w:div w:id="1074276463">
          <w:marLeft w:val="0"/>
          <w:marRight w:val="0"/>
          <w:marTop w:val="0"/>
          <w:marBottom w:val="0"/>
          <w:divBdr>
            <w:top w:val="none" w:sz="0" w:space="0" w:color="auto"/>
            <w:left w:val="none" w:sz="0" w:space="0" w:color="auto"/>
            <w:bottom w:val="none" w:sz="0" w:space="0" w:color="auto"/>
            <w:right w:val="none" w:sz="0" w:space="0" w:color="auto"/>
          </w:divBdr>
        </w:div>
        <w:div w:id="1020205660">
          <w:marLeft w:val="0"/>
          <w:marRight w:val="0"/>
          <w:marTop w:val="0"/>
          <w:marBottom w:val="0"/>
          <w:divBdr>
            <w:top w:val="none" w:sz="0" w:space="0" w:color="auto"/>
            <w:left w:val="none" w:sz="0" w:space="0" w:color="auto"/>
            <w:bottom w:val="none" w:sz="0" w:space="0" w:color="auto"/>
            <w:right w:val="none" w:sz="0" w:space="0" w:color="auto"/>
          </w:divBdr>
        </w:div>
      </w:divsChild>
    </w:div>
    <w:div w:id="1270821590">
      <w:bodyDiv w:val="1"/>
      <w:marLeft w:val="0"/>
      <w:marRight w:val="0"/>
      <w:marTop w:val="0"/>
      <w:marBottom w:val="0"/>
      <w:divBdr>
        <w:top w:val="none" w:sz="0" w:space="0" w:color="auto"/>
        <w:left w:val="none" w:sz="0" w:space="0" w:color="auto"/>
        <w:bottom w:val="none" w:sz="0" w:space="0" w:color="auto"/>
        <w:right w:val="none" w:sz="0" w:space="0" w:color="auto"/>
      </w:divBdr>
      <w:divsChild>
        <w:div w:id="1281063964">
          <w:marLeft w:val="0"/>
          <w:marRight w:val="0"/>
          <w:marTop w:val="0"/>
          <w:marBottom w:val="0"/>
          <w:divBdr>
            <w:top w:val="none" w:sz="0" w:space="0" w:color="auto"/>
            <w:left w:val="none" w:sz="0" w:space="0" w:color="auto"/>
            <w:bottom w:val="none" w:sz="0" w:space="0" w:color="auto"/>
            <w:right w:val="none" w:sz="0" w:space="0" w:color="auto"/>
          </w:divBdr>
        </w:div>
        <w:div w:id="1673601699">
          <w:marLeft w:val="0"/>
          <w:marRight w:val="0"/>
          <w:marTop w:val="0"/>
          <w:marBottom w:val="0"/>
          <w:divBdr>
            <w:top w:val="none" w:sz="0" w:space="0" w:color="auto"/>
            <w:left w:val="none" w:sz="0" w:space="0" w:color="auto"/>
            <w:bottom w:val="none" w:sz="0" w:space="0" w:color="auto"/>
            <w:right w:val="none" w:sz="0" w:space="0" w:color="auto"/>
          </w:divBdr>
        </w:div>
        <w:div w:id="14483515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wsinteractives.cbc.ca/longform-single/beyond-94?&amp;cta=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ewsinteractives.cbc.ca/longform-single/beyond-94?&amp;cta=8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sinteractives.cbc.ca/longform-single/beyond-94?&amp;cta=8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ewsinteractives.cbc.ca/longform-single/beyond-94?&amp;cta=77" TargetMode="External"/><Relationship Id="rId4" Type="http://schemas.openxmlformats.org/officeDocument/2006/relationships/webSettings" Target="webSettings.xml"/><Relationship Id="rId9" Type="http://schemas.openxmlformats.org/officeDocument/2006/relationships/hyperlink" Target="https://ehprnh2mwo3.exactdn.com/wp-content/uploads/2021/01/Calls_to_Action_English2.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2020-07-10T13:47:00Z</cp:lastPrinted>
  <dcterms:created xsi:type="dcterms:W3CDTF">2021-09-29T16:01:00Z</dcterms:created>
  <dcterms:modified xsi:type="dcterms:W3CDTF">2021-09-29T20:10:00Z</dcterms:modified>
</cp:coreProperties>
</file>