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DC7" w14:textId="77777777" w:rsidR="00096DC1" w:rsidRPr="001F68C2" w:rsidRDefault="00E56931">
      <w:pPr>
        <w:rPr>
          <w:rFonts w:ascii="Arial" w:eastAsia="Arial" w:hAnsi="Arial" w:cs="Arial"/>
          <w:b/>
          <w:sz w:val="22"/>
          <w:szCs w:val="22"/>
        </w:rPr>
      </w:pPr>
      <w:r w:rsidRPr="001F68C2">
        <w:rPr>
          <w:rFonts w:ascii="Arial" w:eastAsia="Arial" w:hAnsi="Arial" w:cs="Arial"/>
          <w:noProof/>
          <w:color w:val="353744"/>
          <w:sz w:val="22"/>
          <w:szCs w:val="22"/>
        </w:rPr>
        <w:drawing>
          <wp:inline distT="0" distB="0" distL="0" distR="0" wp14:anchorId="1CBB00AA" wp14:editId="4D153301">
            <wp:extent cx="4132833" cy="46362"/>
            <wp:effectExtent l="0" t="0" r="0" b="0"/>
            <wp:docPr id="2" name="image1.png" descr="https://docs.google.com/drawings/d/sNA8RHvF0e9AzoKY3ZObSiw/image?w=624&amp;h=7&amp;rev=4&amp;ac=1&amp;parent=1KA_H7IiPR1NCy3uo55bR-nluKSVS8UKRVf5cmlUjP0Y"/>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NA8RHvF0e9AzoKY3ZObSiw/image?w=624&amp;h=7&amp;rev=4&amp;ac=1&amp;parent=1KA_H7IiPR1NCy3uo55bR-nluKSVS8UKRVf5cmlUjP0Y"/>
                    <pic:cNvPicPr preferRelativeResize="0"/>
                  </pic:nvPicPr>
                  <pic:blipFill>
                    <a:blip r:embed="rId7"/>
                    <a:srcRect/>
                    <a:stretch>
                      <a:fillRect/>
                    </a:stretch>
                  </pic:blipFill>
                  <pic:spPr>
                    <a:xfrm>
                      <a:off x="0" y="0"/>
                      <a:ext cx="4132833" cy="46362"/>
                    </a:xfrm>
                    <a:prstGeom prst="rect">
                      <a:avLst/>
                    </a:prstGeom>
                    <a:ln/>
                  </pic:spPr>
                </pic:pic>
              </a:graphicData>
            </a:graphic>
          </wp:inline>
        </w:drawing>
      </w:r>
      <w:r w:rsidRPr="001F68C2">
        <w:rPr>
          <w:rFonts w:ascii="Arial" w:hAnsi="Arial" w:cs="Arial"/>
          <w:noProof/>
          <w:sz w:val="22"/>
          <w:szCs w:val="22"/>
        </w:rPr>
        <w:drawing>
          <wp:anchor distT="0" distB="0" distL="114300" distR="114300" simplePos="0" relativeHeight="251658240" behindDoc="0" locked="0" layoutInCell="1" hidden="0" allowOverlap="1" wp14:anchorId="41527E83" wp14:editId="14CC3691">
            <wp:simplePos x="0" y="0"/>
            <wp:positionH relativeFrom="column">
              <wp:posOffset>-295274</wp:posOffset>
            </wp:positionH>
            <wp:positionV relativeFrom="paragraph">
              <wp:posOffset>66675</wp:posOffset>
            </wp:positionV>
            <wp:extent cx="4516120" cy="1466850"/>
            <wp:effectExtent l="0" t="0" r="0" b="0"/>
            <wp:wrapNone/>
            <wp:docPr id="1"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8"/>
                    <a:srcRect/>
                    <a:stretch>
                      <a:fillRect/>
                    </a:stretch>
                  </pic:blipFill>
                  <pic:spPr>
                    <a:xfrm>
                      <a:off x="0" y="0"/>
                      <a:ext cx="4516120" cy="1466850"/>
                    </a:xfrm>
                    <a:prstGeom prst="rect">
                      <a:avLst/>
                    </a:prstGeom>
                    <a:ln/>
                  </pic:spPr>
                </pic:pic>
              </a:graphicData>
            </a:graphic>
          </wp:anchor>
        </w:drawing>
      </w:r>
    </w:p>
    <w:p w14:paraId="4C0FD6DA" w14:textId="77777777" w:rsidR="00096DC1" w:rsidRPr="001F68C2" w:rsidRDefault="00E56931">
      <w:pPr>
        <w:shd w:val="clear" w:color="auto" w:fill="FFFFFF"/>
        <w:jc w:val="right"/>
        <w:rPr>
          <w:rFonts w:ascii="Arial" w:hAnsi="Arial" w:cs="Arial"/>
          <w:sz w:val="22"/>
          <w:szCs w:val="22"/>
        </w:rPr>
      </w:pPr>
      <w:bookmarkStart w:id="0" w:name="_gjdgxs" w:colFirst="0" w:colLast="0"/>
      <w:bookmarkEnd w:id="0"/>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p>
    <w:p w14:paraId="4DD0A74A" w14:textId="77777777" w:rsidR="00690163" w:rsidRPr="001F68C2" w:rsidRDefault="00690163">
      <w:pPr>
        <w:shd w:val="clear" w:color="auto" w:fill="FFFFFF"/>
        <w:rPr>
          <w:rFonts w:ascii="Arial" w:eastAsia="Arial" w:hAnsi="Arial" w:cs="Arial"/>
          <w:sz w:val="22"/>
          <w:szCs w:val="22"/>
        </w:rPr>
      </w:pPr>
    </w:p>
    <w:p w14:paraId="4005BDF2" w14:textId="77777777" w:rsidR="00690163" w:rsidRPr="001F68C2" w:rsidRDefault="00690163">
      <w:pPr>
        <w:shd w:val="clear" w:color="auto" w:fill="FFFFFF"/>
        <w:rPr>
          <w:rFonts w:ascii="Arial" w:eastAsia="Arial" w:hAnsi="Arial" w:cs="Arial"/>
          <w:sz w:val="22"/>
          <w:szCs w:val="22"/>
        </w:rPr>
      </w:pPr>
    </w:p>
    <w:p w14:paraId="28DE4FAA" w14:textId="77777777" w:rsidR="00937690" w:rsidRDefault="00937690" w:rsidP="0077588A">
      <w:pPr>
        <w:rPr>
          <w:color w:val="222222"/>
          <w:highlight w:val="white"/>
        </w:rPr>
      </w:pPr>
    </w:p>
    <w:p w14:paraId="27D3A7E9" w14:textId="21E86124" w:rsidR="00937690" w:rsidRPr="00B769F3" w:rsidRDefault="001D1CE8" w:rsidP="0077588A">
      <w:pPr>
        <w:rPr>
          <w:color w:val="222222"/>
          <w:highlight w:val="white"/>
          <w:lang w:val="fr-CA"/>
        </w:rPr>
      </w:pPr>
      <w:r>
        <w:rPr>
          <w:color w:val="222222"/>
          <w:highlight w:val="white"/>
          <w:lang w:val="fr-CA"/>
        </w:rPr>
        <w:t>Le</w:t>
      </w:r>
      <w:r w:rsidR="00937690" w:rsidRPr="00B769F3">
        <w:rPr>
          <w:color w:val="222222"/>
          <w:highlight w:val="white"/>
          <w:lang w:val="fr-CA"/>
        </w:rPr>
        <w:t xml:space="preserve"> 29</w:t>
      </w:r>
      <w:r>
        <w:rPr>
          <w:color w:val="222222"/>
          <w:highlight w:val="white"/>
          <w:vertAlign w:val="superscript"/>
          <w:lang w:val="fr-CA"/>
        </w:rPr>
        <w:t xml:space="preserve"> </w:t>
      </w:r>
      <w:r>
        <w:rPr>
          <w:color w:val="222222"/>
          <w:highlight w:val="white"/>
          <w:lang w:val="fr-CA"/>
        </w:rPr>
        <w:t>septembre</w:t>
      </w:r>
      <w:r w:rsidR="00937690" w:rsidRPr="00B769F3">
        <w:rPr>
          <w:color w:val="222222"/>
          <w:highlight w:val="white"/>
          <w:lang w:val="fr-CA"/>
        </w:rPr>
        <w:t>, 2021</w:t>
      </w:r>
    </w:p>
    <w:p w14:paraId="2B2DF643" w14:textId="77777777" w:rsidR="00937690" w:rsidRPr="00B769F3" w:rsidRDefault="00937690" w:rsidP="0077588A">
      <w:pPr>
        <w:rPr>
          <w:color w:val="222222"/>
          <w:highlight w:val="white"/>
          <w:lang w:val="fr-CA"/>
        </w:rPr>
      </w:pPr>
    </w:p>
    <w:p w14:paraId="2F4D84C9" w14:textId="77777777" w:rsidR="00937690" w:rsidRPr="00B769F3" w:rsidRDefault="00937690" w:rsidP="0077588A">
      <w:pPr>
        <w:rPr>
          <w:color w:val="222222"/>
          <w:highlight w:val="white"/>
          <w:lang w:val="fr-CA"/>
        </w:rPr>
      </w:pPr>
    </w:p>
    <w:p w14:paraId="56CE10E9" w14:textId="795D79AA" w:rsidR="00937690" w:rsidRPr="00B769F3" w:rsidRDefault="001D1CE8" w:rsidP="0077588A">
      <w:pPr>
        <w:rPr>
          <w:color w:val="222222"/>
          <w:highlight w:val="white"/>
          <w:lang w:val="fr-CA"/>
        </w:rPr>
      </w:pPr>
      <w:r>
        <w:rPr>
          <w:color w:val="222222"/>
          <w:highlight w:val="white"/>
          <w:lang w:val="fr-CA"/>
        </w:rPr>
        <w:t>Chers</w:t>
      </w:r>
      <w:r w:rsidR="00937690" w:rsidRPr="00B769F3">
        <w:rPr>
          <w:color w:val="222222"/>
          <w:highlight w:val="white"/>
          <w:lang w:val="fr-CA"/>
        </w:rPr>
        <w:t xml:space="preserve"> </w:t>
      </w:r>
      <w:r>
        <w:rPr>
          <w:color w:val="222222"/>
          <w:highlight w:val="white"/>
          <w:lang w:val="fr-CA"/>
        </w:rPr>
        <w:t>ministres</w:t>
      </w:r>
      <w:r w:rsidR="00937690" w:rsidRPr="00B769F3">
        <w:rPr>
          <w:color w:val="222222"/>
          <w:highlight w:val="white"/>
          <w:lang w:val="fr-CA"/>
        </w:rPr>
        <w:t>,</w:t>
      </w:r>
    </w:p>
    <w:p w14:paraId="4B715320" w14:textId="77777777" w:rsidR="00937690" w:rsidRPr="00B769F3" w:rsidRDefault="00937690" w:rsidP="0077588A">
      <w:pPr>
        <w:rPr>
          <w:color w:val="222222"/>
          <w:highlight w:val="white"/>
          <w:lang w:val="fr-CA"/>
        </w:rPr>
      </w:pPr>
    </w:p>
    <w:p w14:paraId="3135D927" w14:textId="77777777" w:rsidR="001D1CE8" w:rsidRDefault="001D1CE8" w:rsidP="00B769F3">
      <w:pPr>
        <w:rPr>
          <w:color w:val="222222"/>
          <w:lang w:val="fr-CA"/>
        </w:rPr>
      </w:pPr>
    </w:p>
    <w:p w14:paraId="372AA0EF" w14:textId="6AE368BC" w:rsidR="00B769F3" w:rsidRPr="00B769F3" w:rsidRDefault="00B769F3" w:rsidP="00B769F3">
      <w:pPr>
        <w:rPr>
          <w:color w:val="222222"/>
          <w:lang w:val="fr-CA"/>
        </w:rPr>
      </w:pPr>
      <w:r w:rsidRPr="00B769F3">
        <w:rPr>
          <w:color w:val="222222"/>
          <w:lang w:val="fr-CA"/>
        </w:rPr>
        <w:t xml:space="preserve">En 2015, La Commission de vérité et réconciliation (CVR) a lancé les </w:t>
      </w:r>
      <w:hyperlink r:id="rId9" w:history="1">
        <w:r w:rsidRPr="00B769F3">
          <w:rPr>
            <w:rStyle w:val="Hyperlink"/>
            <w:i/>
            <w:iCs/>
            <w:color w:val="0309F3"/>
            <w:lang w:val="fr-CA"/>
          </w:rPr>
          <w:t>94 Appels à l’action</w:t>
        </w:r>
      </w:hyperlink>
      <w:r w:rsidRPr="00B769F3">
        <w:rPr>
          <w:i/>
          <w:iCs/>
          <w:color w:val="0309F3"/>
          <w:lang w:val="fr-CA"/>
        </w:rPr>
        <w:t>.</w:t>
      </w:r>
      <w:r w:rsidRPr="00B769F3">
        <w:rPr>
          <w:color w:val="0309F3"/>
          <w:lang w:val="fr-CA"/>
        </w:rPr>
        <w:t xml:space="preserve"> </w:t>
      </w:r>
      <w:r w:rsidRPr="00B769F3">
        <w:rPr>
          <w:color w:val="222222"/>
          <w:lang w:val="fr-CA"/>
        </w:rPr>
        <w:t xml:space="preserve">À ce jour, seuls </w:t>
      </w:r>
      <w:hyperlink r:id="rId10" w:history="1">
        <w:r w:rsidRPr="00B769F3">
          <w:rPr>
            <w:rStyle w:val="Hyperlink"/>
            <w:color w:val="0309F3"/>
            <w:lang w:val="fr-CA"/>
          </w:rPr>
          <w:t>treize de ces appels ont été mis en œuvre</w:t>
        </w:r>
      </w:hyperlink>
      <w:r w:rsidRPr="00B769F3">
        <w:rPr>
          <w:color w:val="0309F3"/>
          <w:lang w:val="fr-CA"/>
        </w:rPr>
        <w:t xml:space="preserve"> </w:t>
      </w:r>
      <w:r w:rsidRPr="00B769F3">
        <w:rPr>
          <w:color w:val="222222"/>
          <w:lang w:val="fr-CA"/>
        </w:rPr>
        <w:t>(en anglais seulement).</w:t>
      </w:r>
    </w:p>
    <w:p w14:paraId="796CB681" w14:textId="77777777" w:rsidR="00B769F3" w:rsidRPr="00B769F3" w:rsidRDefault="00B769F3" w:rsidP="00B769F3">
      <w:pPr>
        <w:rPr>
          <w:color w:val="222222"/>
          <w:lang w:val="fr-CA"/>
        </w:rPr>
      </w:pPr>
    </w:p>
    <w:p w14:paraId="5AA27038" w14:textId="77777777" w:rsidR="00B769F3" w:rsidRPr="00B769F3" w:rsidRDefault="00B769F3" w:rsidP="00B769F3">
      <w:pPr>
        <w:rPr>
          <w:color w:val="222222"/>
          <w:lang w:val="fr-CA"/>
        </w:rPr>
      </w:pPr>
      <w:r w:rsidRPr="00B769F3">
        <w:rPr>
          <w:b/>
          <w:bCs/>
          <w:color w:val="222222"/>
          <w:lang w:val="fr-CA"/>
        </w:rPr>
        <w:t>Appel 80 :</w:t>
      </w:r>
      <w:r w:rsidRPr="00B769F3">
        <w:rPr>
          <w:color w:val="222222"/>
          <w:lang w:val="fr-CA"/>
        </w:rPr>
        <w:t xml:space="preserve"> L’établissement d’une journée nationale de la vérité et de la réconciliation qui soit un jour férié statutaire a été adopté le 3 juin dernier et le 30 septembre 2021 est la première journée nationale de la vérité et de la réconciliation.</w:t>
      </w:r>
    </w:p>
    <w:p w14:paraId="24B7E9D7" w14:textId="77777777" w:rsidR="00B769F3" w:rsidRPr="00B769F3" w:rsidRDefault="00B769F3" w:rsidP="00B769F3">
      <w:pPr>
        <w:rPr>
          <w:color w:val="222222"/>
          <w:lang w:val="fr-CA"/>
        </w:rPr>
      </w:pPr>
    </w:p>
    <w:p w14:paraId="3E929A3F" w14:textId="4A0E3A43" w:rsidR="00B769F3" w:rsidRPr="00B769F3" w:rsidRDefault="00B769F3" w:rsidP="00B769F3">
      <w:pPr>
        <w:rPr>
          <w:color w:val="222222"/>
          <w:lang w:val="fr-CA"/>
        </w:rPr>
      </w:pPr>
      <w:r w:rsidRPr="00B769F3">
        <w:rPr>
          <w:color w:val="222222"/>
          <w:lang w:val="fr-CA"/>
        </w:rPr>
        <w:t xml:space="preserve">À l’occasion de cette journée et en reconnaissance des horribles politiques génocidaires continues envers les peuples des Premières Nations, Métis et Inuits, </w:t>
      </w:r>
      <w:r w:rsidR="003931A5">
        <w:rPr>
          <w:color w:val="222222"/>
          <w:lang w:val="fr-CA"/>
        </w:rPr>
        <w:t>je</w:t>
      </w:r>
      <w:r w:rsidRPr="00B769F3">
        <w:rPr>
          <w:color w:val="222222"/>
          <w:lang w:val="fr-CA"/>
        </w:rPr>
        <w:t xml:space="preserve"> demande aux politiciens canadiens de prendre immédiatement les mesures nécessaires à la mise en œuvre des 81 appels restants de la Commission de vérité et réconciliation. Les Canadiens ne peuvent plus rester silencieux et nous devons agir maintenant. Ces appels sont des droits fondamentaux de la personne.</w:t>
      </w:r>
    </w:p>
    <w:p w14:paraId="1934451F" w14:textId="77777777" w:rsidR="00B769F3" w:rsidRPr="00B769F3" w:rsidRDefault="00B769F3" w:rsidP="00B769F3">
      <w:pPr>
        <w:rPr>
          <w:color w:val="222222"/>
          <w:lang w:val="fr-CA"/>
        </w:rPr>
      </w:pPr>
    </w:p>
    <w:p w14:paraId="054C6EC3" w14:textId="77777777" w:rsidR="00B769F3" w:rsidRPr="00B769F3" w:rsidRDefault="00B769F3" w:rsidP="00B769F3">
      <w:pPr>
        <w:rPr>
          <w:b/>
          <w:bCs/>
          <w:color w:val="222222"/>
          <w:lang w:val="fr-CA"/>
        </w:rPr>
      </w:pPr>
      <w:r w:rsidRPr="00B769F3">
        <w:rPr>
          <w:color w:val="222222"/>
          <w:lang w:val="fr-CA"/>
        </w:rPr>
        <w:t>Plus de 150 000 enfants des Premières Nations, Métis ou Inuits ont été placés dans des pensionnats entre 1870 et 1990 et, en mai 2021, de nouvelles preuves des horreurs commises dans ces institutions ont confirmé ce que les communautés concernées savaient déjà quant au nombre d’enfants enterrés anonymement ou dans des fosses communes</w:t>
      </w:r>
      <w:r w:rsidRPr="00B769F3">
        <w:rPr>
          <w:b/>
          <w:bCs/>
          <w:color w:val="222222"/>
          <w:lang w:val="fr-CA"/>
        </w:rPr>
        <w:t xml:space="preserve">. </w:t>
      </w:r>
    </w:p>
    <w:p w14:paraId="6041E0AA" w14:textId="77777777" w:rsidR="00B769F3" w:rsidRPr="00B769F3" w:rsidRDefault="00B769F3" w:rsidP="00B769F3">
      <w:pPr>
        <w:rPr>
          <w:b/>
          <w:bCs/>
          <w:color w:val="222222"/>
          <w:lang w:val="fr-CA"/>
        </w:rPr>
      </w:pPr>
    </w:p>
    <w:p w14:paraId="5A54D1F1" w14:textId="7F11639C" w:rsidR="00B769F3" w:rsidRPr="00A92946" w:rsidRDefault="00B769F3" w:rsidP="00B769F3">
      <w:pPr>
        <w:rPr>
          <w:b/>
          <w:bCs/>
          <w:color w:val="222222"/>
          <w:lang w:val="en-CA"/>
        </w:rPr>
      </w:pPr>
      <w:r w:rsidRPr="00B769F3">
        <w:rPr>
          <w:b/>
          <w:bCs/>
          <w:color w:val="222222"/>
          <w:lang w:val="fr-CA"/>
        </w:rPr>
        <w:t xml:space="preserve">Des cinq </w:t>
      </w:r>
      <w:r w:rsidR="00A92946" w:rsidRPr="00A92946">
        <w:rPr>
          <w:b/>
          <w:bCs/>
          <w:color w:val="222222"/>
          <w:lang w:val="fr-CA"/>
        </w:rPr>
        <w:t>appels à l'action</w:t>
      </w:r>
      <w:r w:rsidRPr="00B769F3">
        <w:rPr>
          <w:b/>
          <w:bCs/>
          <w:color w:val="222222"/>
          <w:lang w:val="fr-CA"/>
        </w:rPr>
        <w:t xml:space="preserve"> concernant la protection de l’enfance, aucune n’a été réalisée.</w:t>
      </w:r>
      <w:r w:rsidRPr="00B769F3">
        <w:rPr>
          <w:color w:val="222222"/>
          <w:lang w:val="fr-CA"/>
        </w:rPr>
        <w:t xml:space="preserve"> Il s’agit de : </w:t>
      </w:r>
    </w:p>
    <w:p w14:paraId="0306F1E2" w14:textId="77777777" w:rsidR="00B769F3" w:rsidRPr="00B769F3" w:rsidRDefault="00B769F3" w:rsidP="00B769F3">
      <w:pPr>
        <w:rPr>
          <w:color w:val="222222"/>
          <w:lang w:val="fr-CA"/>
        </w:rPr>
      </w:pPr>
      <w:r>
        <w:rPr>
          <w:color w:val="222222"/>
          <w:lang w:val="fr-CA"/>
        </w:rPr>
        <w:t>Ré</w:t>
      </w:r>
      <w:r w:rsidRPr="003340EC">
        <w:rPr>
          <w:color w:val="222222"/>
          <w:lang w:val="fr-CA"/>
        </w:rPr>
        <w:t>duire le nombre d’enfants autochtones pris en charge</w:t>
      </w:r>
      <w:r>
        <w:rPr>
          <w:color w:val="222222"/>
          <w:lang w:val="fr-CA"/>
        </w:rPr>
        <w:t> ; P</w:t>
      </w:r>
      <w:r w:rsidRPr="003340EC">
        <w:rPr>
          <w:color w:val="222222"/>
          <w:lang w:val="fr-CA"/>
        </w:rPr>
        <w:t>ublier des rapports annuels sur le nombre d’enfants autochtones (Premi</w:t>
      </w:r>
      <w:r>
        <w:rPr>
          <w:color w:val="222222"/>
          <w:lang w:val="fr-CA"/>
        </w:rPr>
        <w:t>è</w:t>
      </w:r>
      <w:r w:rsidRPr="003340EC">
        <w:rPr>
          <w:color w:val="222222"/>
          <w:lang w:val="fr-CA"/>
        </w:rPr>
        <w:t>res Nations, Inuits et M</w:t>
      </w:r>
      <w:r>
        <w:rPr>
          <w:color w:val="222222"/>
          <w:lang w:val="fr-CA"/>
        </w:rPr>
        <w:t>é</w:t>
      </w:r>
      <w:r w:rsidRPr="003340EC">
        <w:rPr>
          <w:color w:val="222222"/>
          <w:lang w:val="fr-CA"/>
        </w:rPr>
        <w:t>tis) qui sont pris en charge</w:t>
      </w:r>
      <w:r>
        <w:rPr>
          <w:color w:val="222222"/>
          <w:lang w:val="fr-CA"/>
        </w:rPr>
        <w:t xml:space="preserve"> ; Mettre pleinement en œuvre le Principe de </w:t>
      </w:r>
      <w:r w:rsidRPr="003340EC">
        <w:rPr>
          <w:i/>
          <w:iCs/>
          <w:color w:val="222222"/>
          <w:lang w:val="fr-CA"/>
        </w:rPr>
        <w:t>Jordan</w:t>
      </w:r>
      <w:r>
        <w:rPr>
          <w:color w:val="222222"/>
          <w:lang w:val="fr-CA"/>
        </w:rPr>
        <w:t> ; Établir des normes nationales ayant</w:t>
      </w:r>
      <w:r w:rsidRPr="003340EC">
        <w:rPr>
          <w:color w:val="222222"/>
          <w:lang w:val="fr-CA"/>
        </w:rPr>
        <w:t xml:space="preserve"> trait aux cas de garde et de prise en charge </w:t>
      </w:r>
      <w:r>
        <w:rPr>
          <w:color w:val="222222"/>
          <w:lang w:val="fr-CA"/>
        </w:rPr>
        <w:t xml:space="preserve">des </w:t>
      </w:r>
      <w:r w:rsidRPr="003340EC">
        <w:rPr>
          <w:color w:val="222222"/>
          <w:lang w:val="fr-CA"/>
        </w:rPr>
        <w:t>enfants autochtones</w:t>
      </w:r>
      <w:r>
        <w:rPr>
          <w:color w:val="222222"/>
          <w:lang w:val="fr-CA"/>
        </w:rPr>
        <w:t> ; É</w:t>
      </w:r>
      <w:r w:rsidRPr="003340EC">
        <w:rPr>
          <w:color w:val="222222"/>
          <w:lang w:val="fr-CA"/>
        </w:rPr>
        <w:t>laborer des programmes d’</w:t>
      </w:r>
      <w:r>
        <w:rPr>
          <w:color w:val="222222"/>
          <w:lang w:val="fr-CA"/>
        </w:rPr>
        <w:t>é</w:t>
      </w:r>
      <w:r w:rsidRPr="003340EC">
        <w:rPr>
          <w:color w:val="222222"/>
          <w:lang w:val="fr-CA"/>
        </w:rPr>
        <w:t>ducation qui sont destin</w:t>
      </w:r>
      <w:r>
        <w:rPr>
          <w:color w:val="222222"/>
          <w:lang w:val="fr-CA"/>
        </w:rPr>
        <w:t>é</w:t>
      </w:r>
      <w:r w:rsidRPr="003340EC">
        <w:rPr>
          <w:color w:val="222222"/>
          <w:lang w:val="fr-CA"/>
        </w:rPr>
        <w:t>s aux parents et qui sont adapt</w:t>
      </w:r>
      <w:r>
        <w:rPr>
          <w:color w:val="222222"/>
          <w:lang w:val="fr-CA"/>
        </w:rPr>
        <w:t>é</w:t>
      </w:r>
      <w:r w:rsidRPr="003340EC">
        <w:rPr>
          <w:color w:val="222222"/>
          <w:lang w:val="fr-CA"/>
        </w:rPr>
        <w:t>s à la culture des familles autochtone</w:t>
      </w:r>
      <w:r>
        <w:rPr>
          <w:color w:val="222222"/>
          <w:lang w:val="fr-CA"/>
        </w:rPr>
        <w:t xml:space="preserve">s. </w:t>
      </w:r>
    </w:p>
    <w:p w14:paraId="3C7A0AB9" w14:textId="77777777" w:rsidR="00B769F3" w:rsidRDefault="00B769F3" w:rsidP="00B769F3">
      <w:pPr>
        <w:rPr>
          <w:color w:val="222222"/>
          <w:lang w:val="fr-CA"/>
        </w:rPr>
      </w:pPr>
    </w:p>
    <w:p w14:paraId="7FD4CB05" w14:textId="77777777" w:rsidR="001D1CE8" w:rsidRDefault="001D1CE8" w:rsidP="00B769F3">
      <w:pPr>
        <w:rPr>
          <w:b/>
          <w:bCs/>
          <w:color w:val="222222"/>
          <w:lang w:val="fr-CA"/>
        </w:rPr>
      </w:pPr>
    </w:p>
    <w:p w14:paraId="30FA27B6" w14:textId="26C67BCA" w:rsidR="00B769F3" w:rsidRPr="00B769F3" w:rsidRDefault="00B769F3" w:rsidP="00B769F3">
      <w:pPr>
        <w:rPr>
          <w:b/>
          <w:bCs/>
          <w:color w:val="222222"/>
          <w:lang w:val="fr-CA"/>
        </w:rPr>
      </w:pPr>
      <w:r w:rsidRPr="00B769F3">
        <w:rPr>
          <w:b/>
          <w:bCs/>
          <w:color w:val="222222"/>
          <w:lang w:val="fr-CA"/>
        </w:rPr>
        <w:t xml:space="preserve">Des sept </w:t>
      </w:r>
      <w:r w:rsidR="00A92946" w:rsidRPr="00A92946">
        <w:rPr>
          <w:b/>
          <w:bCs/>
          <w:color w:val="222222"/>
          <w:lang w:val="fr-CA"/>
        </w:rPr>
        <w:t>appels à l'action</w:t>
      </w:r>
      <w:bookmarkStart w:id="1" w:name="_GoBack"/>
      <w:bookmarkEnd w:id="1"/>
      <w:r w:rsidRPr="00B769F3">
        <w:rPr>
          <w:b/>
          <w:bCs/>
          <w:color w:val="222222"/>
          <w:lang w:val="fr-CA"/>
        </w:rPr>
        <w:t xml:space="preserve"> concernant l’éducation, aucune n’a été réalisée.</w:t>
      </w:r>
    </w:p>
    <w:p w14:paraId="07D24D0F" w14:textId="77777777" w:rsidR="00B769F3" w:rsidRPr="00B769F3" w:rsidRDefault="00B769F3" w:rsidP="00B769F3">
      <w:pPr>
        <w:rPr>
          <w:color w:val="222222"/>
          <w:lang w:val="fr-CA"/>
        </w:rPr>
      </w:pPr>
      <w:r w:rsidRPr="00B769F3">
        <w:rPr>
          <w:color w:val="222222"/>
          <w:lang w:val="fr-CA"/>
        </w:rPr>
        <w:lastRenderedPageBreak/>
        <w:t xml:space="preserve">Il s’agit de : </w:t>
      </w:r>
    </w:p>
    <w:p w14:paraId="29E2E70E" w14:textId="77777777" w:rsidR="00B769F3" w:rsidRDefault="00B769F3" w:rsidP="00B769F3">
      <w:pPr>
        <w:rPr>
          <w:color w:val="222222"/>
          <w:lang w:val="fr-CA"/>
        </w:rPr>
      </w:pPr>
      <w:r w:rsidRPr="00B769F3">
        <w:rPr>
          <w:color w:val="222222"/>
          <w:lang w:val="fr-CA"/>
        </w:rPr>
        <w:t xml:space="preserve">Abroger l’article 43 du Code criminel permettant le châtiment corporel ; Combler </w:t>
      </w:r>
      <w:r w:rsidRPr="003340EC">
        <w:rPr>
          <w:color w:val="222222"/>
          <w:lang w:val="fr-CA"/>
        </w:rPr>
        <w:t>les écarts en matière d’éducation et d’emploi entre les Canadiens autochtones et les Canadiens non autochtones</w:t>
      </w:r>
      <w:r>
        <w:rPr>
          <w:color w:val="222222"/>
          <w:lang w:val="fr-CA"/>
        </w:rPr>
        <w:t> ; Éliminer l’écart</w:t>
      </w:r>
      <w:r w:rsidRPr="003340EC">
        <w:rPr>
          <w:rFonts w:ascii="UtopiaStd" w:hAnsi="UtopiaStd"/>
          <w:sz w:val="18"/>
          <w:szCs w:val="18"/>
          <w:lang w:val="fr-CA" w:eastAsia="fr-CA"/>
        </w:rPr>
        <w:t xml:space="preserve"> </w:t>
      </w:r>
      <w:r w:rsidRPr="003340EC">
        <w:rPr>
          <w:color w:val="222222"/>
          <w:lang w:val="fr-CA"/>
        </w:rPr>
        <w:t xml:space="preserve">entre le financement </w:t>
      </w:r>
      <w:r>
        <w:rPr>
          <w:color w:val="222222"/>
          <w:lang w:val="fr-CA"/>
        </w:rPr>
        <w:t xml:space="preserve">fédéral </w:t>
      </w:r>
      <w:r w:rsidRPr="003340EC">
        <w:rPr>
          <w:color w:val="222222"/>
          <w:lang w:val="fr-CA"/>
        </w:rPr>
        <w:t xml:space="preserve">en matière d’éducation pour </w:t>
      </w:r>
      <w:r>
        <w:rPr>
          <w:color w:val="222222"/>
          <w:lang w:val="fr-CA"/>
        </w:rPr>
        <w:t>l’enseignement</w:t>
      </w:r>
      <w:r w:rsidRPr="003340EC">
        <w:rPr>
          <w:color w:val="222222"/>
          <w:lang w:val="fr-CA"/>
        </w:rPr>
        <w:t xml:space="preserve"> dans les réserves et celui à l’extérieur des réserves</w:t>
      </w:r>
      <w:r>
        <w:rPr>
          <w:color w:val="222222"/>
          <w:lang w:val="fr-CA"/>
        </w:rPr>
        <w:t> ; P</w:t>
      </w:r>
      <w:r w:rsidRPr="003340EC">
        <w:rPr>
          <w:color w:val="222222"/>
          <w:lang w:val="fr-CA"/>
        </w:rPr>
        <w:t>ublier des rapports annuels sur le financement en matière d’éducation ainsi que sur les niveaux de scolarisation et le</w:t>
      </w:r>
      <w:r>
        <w:rPr>
          <w:color w:val="222222"/>
          <w:lang w:val="fr-CA"/>
        </w:rPr>
        <w:t>s</w:t>
      </w:r>
      <w:r w:rsidRPr="003340EC">
        <w:rPr>
          <w:color w:val="222222"/>
          <w:lang w:val="fr-CA"/>
        </w:rPr>
        <w:t xml:space="preserve"> revenu</w:t>
      </w:r>
      <w:r>
        <w:rPr>
          <w:color w:val="222222"/>
          <w:lang w:val="fr-CA"/>
        </w:rPr>
        <w:t xml:space="preserve">s </w:t>
      </w:r>
      <w:r w:rsidRPr="003340EC">
        <w:rPr>
          <w:color w:val="222222"/>
          <w:lang w:val="fr-CA"/>
        </w:rPr>
        <w:t>des membres des peuples autochtones par rapport aux non-Autochtones au Canada</w:t>
      </w:r>
      <w:r>
        <w:rPr>
          <w:color w:val="222222"/>
          <w:lang w:val="fr-CA"/>
        </w:rPr>
        <w:t> ; Élaborer une nouvelle loi sur l’éducation pour les Autochtones ; Fournir un financement adéquat aux étudiants autochtones pour l’accès aux études postsecondaires ; Élaborer des programmes d’éducation de la petite enfance qui soit adaptés à la culture autochtone.</w:t>
      </w:r>
    </w:p>
    <w:p w14:paraId="00C6DD2E" w14:textId="77777777" w:rsidR="00B769F3" w:rsidRDefault="00B769F3" w:rsidP="00B769F3">
      <w:pPr>
        <w:rPr>
          <w:color w:val="222222"/>
          <w:lang w:val="fr-CA"/>
        </w:rPr>
      </w:pPr>
    </w:p>
    <w:p w14:paraId="2549DB4D" w14:textId="7D03A729" w:rsidR="00565454" w:rsidRPr="00565454" w:rsidRDefault="00565454" w:rsidP="00B769F3">
      <w:pPr>
        <w:rPr>
          <w:highlight w:val="white"/>
          <w:lang w:val="fr-CA"/>
        </w:rPr>
      </w:pPr>
      <w:r>
        <w:rPr>
          <w:color w:val="222222"/>
          <w:lang w:val="fr-CA"/>
        </w:rPr>
        <w:t>Je suis l’un des</w:t>
      </w:r>
      <w:r w:rsidR="00B769F3" w:rsidRPr="00606EE1">
        <w:rPr>
          <w:lang w:val="fr-CA"/>
        </w:rPr>
        <w:t xml:space="preserve"> 1000 membres </w:t>
      </w:r>
      <w:r>
        <w:rPr>
          <w:lang w:val="fr-CA"/>
        </w:rPr>
        <w:t>de l</w:t>
      </w:r>
      <w:r w:rsidRPr="003931A5">
        <w:rPr>
          <w:highlight w:val="white"/>
          <w:lang w:val="fr-CA"/>
        </w:rPr>
        <w:t>’Association des documentaristes du Canada </w:t>
      </w:r>
      <w:r>
        <w:rPr>
          <w:highlight w:val="white"/>
          <w:lang w:val="fr-CA"/>
        </w:rPr>
        <w:t xml:space="preserve">(DOC). </w:t>
      </w:r>
    </w:p>
    <w:p w14:paraId="681FE010" w14:textId="3AC7ECED" w:rsidR="00B769F3" w:rsidRDefault="00565454" w:rsidP="00B769F3">
      <w:pPr>
        <w:rPr>
          <w:color w:val="222222"/>
          <w:lang w:val="fr-CA"/>
        </w:rPr>
      </w:pPr>
      <w:r>
        <w:rPr>
          <w:lang w:val="fr-CA"/>
        </w:rPr>
        <w:t xml:space="preserve">Pendant 38 ans, </w:t>
      </w:r>
      <w:r w:rsidR="00B769F3">
        <w:rPr>
          <w:lang w:val="fr-CA"/>
        </w:rPr>
        <w:t xml:space="preserve">DOC soutien les créatrices et créateurs </w:t>
      </w:r>
      <w:proofErr w:type="spellStart"/>
      <w:proofErr w:type="gramStart"/>
      <w:r w:rsidR="00B769F3">
        <w:rPr>
          <w:lang w:val="fr-CA"/>
        </w:rPr>
        <w:t>canadien.ne.s</w:t>
      </w:r>
      <w:proofErr w:type="spellEnd"/>
      <w:proofErr w:type="gramEnd"/>
      <w:r w:rsidR="00B769F3">
        <w:rPr>
          <w:lang w:val="fr-CA"/>
        </w:rPr>
        <w:t xml:space="preserve"> de documentaire et notre travail vise à développer une pensée critique sur les questions éthiques, la pratique et l’esthétique du cinéma documentaire. DOC s’engage à faire de son mieux pour inclure dans l’association les 94 Appels à l’Action de </w:t>
      </w:r>
      <w:r w:rsidR="00B769F3" w:rsidRPr="001D1CE8">
        <w:rPr>
          <w:color w:val="222222"/>
          <w:lang w:val="fr-CA"/>
        </w:rPr>
        <w:t>la Commission de vérité et réconciliation, notamment les appels </w:t>
      </w:r>
      <w:hyperlink r:id="rId11" w:history="1">
        <w:r w:rsidR="00B769F3" w:rsidRPr="001D1CE8">
          <w:rPr>
            <w:rStyle w:val="Hyperlink"/>
            <w:color w:val="0309F3"/>
            <w:lang w:val="fr-CA"/>
          </w:rPr>
          <w:t>84, 85 et 86</w:t>
        </w:r>
      </w:hyperlink>
      <w:r w:rsidR="00B769F3" w:rsidRPr="001D1CE8">
        <w:rPr>
          <w:color w:val="0309F3"/>
          <w:lang w:val="fr-CA"/>
        </w:rPr>
        <w:t>.</w:t>
      </w:r>
    </w:p>
    <w:p w14:paraId="29E3A20D" w14:textId="77777777" w:rsidR="00B769F3" w:rsidRDefault="00B769F3" w:rsidP="00B769F3">
      <w:pPr>
        <w:rPr>
          <w:color w:val="222222"/>
          <w:lang w:val="fr-CA"/>
        </w:rPr>
      </w:pPr>
    </w:p>
    <w:p w14:paraId="1CCCA2AB" w14:textId="77777777" w:rsidR="00B769F3" w:rsidRPr="003340EC" w:rsidRDefault="00B769F3" w:rsidP="00B769F3">
      <w:pPr>
        <w:rPr>
          <w:color w:val="222222"/>
          <w:lang w:val="fr-CA"/>
        </w:rPr>
      </w:pPr>
    </w:p>
    <w:p w14:paraId="6E82FFA4" w14:textId="77777777" w:rsidR="001D1CE8" w:rsidRDefault="001D1CE8" w:rsidP="0077588A">
      <w:pPr>
        <w:rPr>
          <w:color w:val="222222"/>
          <w:lang w:val="fr-CA"/>
        </w:rPr>
      </w:pPr>
    </w:p>
    <w:p w14:paraId="519778DA" w14:textId="11686F50" w:rsidR="00937690" w:rsidRPr="001D1CE8" w:rsidRDefault="001D1CE8" w:rsidP="0077588A">
      <w:pPr>
        <w:rPr>
          <w:highlight w:val="white"/>
          <w:lang w:val="en-CA"/>
        </w:rPr>
      </w:pPr>
      <w:proofErr w:type="spellStart"/>
      <w:r w:rsidRPr="001D1CE8">
        <w:rPr>
          <w:bCs/>
          <w:highlight w:val="white"/>
          <w:lang w:val="en-CA"/>
        </w:rPr>
        <w:t>Cordialement</w:t>
      </w:r>
      <w:proofErr w:type="spellEnd"/>
      <w:r w:rsidR="00937690" w:rsidRPr="001D1CE8">
        <w:rPr>
          <w:highlight w:val="white"/>
        </w:rPr>
        <w:t>,</w:t>
      </w:r>
    </w:p>
    <w:p w14:paraId="48376FEA" w14:textId="55C328D6" w:rsidR="00937690" w:rsidRDefault="00937690" w:rsidP="0077588A">
      <w:pPr>
        <w:rPr>
          <w:highlight w:val="white"/>
        </w:rPr>
      </w:pPr>
    </w:p>
    <w:p w14:paraId="3B028484" w14:textId="6AA28F92" w:rsidR="00937690" w:rsidRDefault="00937690" w:rsidP="0077588A">
      <w:pPr>
        <w:rPr>
          <w:highlight w:val="white"/>
        </w:rPr>
      </w:pPr>
    </w:p>
    <w:p w14:paraId="796AC926" w14:textId="1030C2EA" w:rsidR="00937690" w:rsidRDefault="00937690" w:rsidP="0077588A">
      <w:pPr>
        <w:rPr>
          <w:highlight w:val="white"/>
        </w:rPr>
      </w:pPr>
    </w:p>
    <w:p w14:paraId="46A3B2D6" w14:textId="45380BD3" w:rsidR="00690163" w:rsidRPr="001D1CE8" w:rsidRDefault="00690163" w:rsidP="0077588A">
      <w:pPr>
        <w:shd w:val="clear" w:color="auto" w:fill="FFFFFF"/>
        <w:rPr>
          <w:rFonts w:ascii="Arial" w:hAnsi="Arial" w:cs="Arial"/>
          <w:sz w:val="22"/>
          <w:szCs w:val="22"/>
          <w:lang w:val="fr-CA"/>
        </w:rPr>
      </w:pPr>
    </w:p>
    <w:sectPr w:rsidR="00690163" w:rsidRPr="001D1CE8">
      <w:headerReference w:type="default" r:id="rId12"/>
      <w:footerReference w:type="even" r:id="rId13"/>
      <w:footerReference w:type="default" r:id="rId14"/>
      <w:pgSz w:w="12240" w:h="15840"/>
      <w:pgMar w:top="1440" w:right="1440" w:bottom="1440" w:left="1440" w:header="6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494A" w14:textId="77777777" w:rsidR="0020207F" w:rsidRDefault="0020207F">
      <w:r>
        <w:separator/>
      </w:r>
    </w:p>
  </w:endnote>
  <w:endnote w:type="continuationSeparator" w:id="0">
    <w:p w14:paraId="138E7ED6" w14:textId="77777777" w:rsidR="0020207F" w:rsidRDefault="0020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Std">
    <w:altName w:val="Cambria"/>
    <w:panose1 w:val="020B0604020202020204"/>
    <w:charset w:val="00"/>
    <w:family w:val="roman"/>
    <w:notTrueType/>
    <w:pitch w:val="default"/>
  </w:font>
  <w:font w:name="Avenir">
    <w:altName w:val="Calibri"/>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A35" w14:textId="77777777" w:rsidR="00096DC1" w:rsidRDefault="00E569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2EC8EB4" w14:textId="77777777" w:rsidR="00096DC1" w:rsidRDefault="00096DC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B106" w14:textId="77777777" w:rsidR="00096DC1" w:rsidRPr="0077588A" w:rsidRDefault="00E56931">
    <w:pPr>
      <w:jc w:val="center"/>
      <w:rPr>
        <w:rFonts w:ascii="Garamond" w:eastAsia="Garamond" w:hAnsi="Garamond" w:cs="Garamond"/>
        <w:color w:val="A7A7A7"/>
        <w:sz w:val="19"/>
        <w:szCs w:val="19"/>
        <w:lang w:val="fr-CA"/>
      </w:rPr>
    </w:pPr>
    <w:r w:rsidRPr="0077588A">
      <w:rPr>
        <w:rFonts w:ascii="Garamond" w:eastAsia="Garamond" w:hAnsi="Garamond" w:cs="Garamond"/>
        <w:color w:val="A7A7A7"/>
        <w:sz w:val="19"/>
        <w:szCs w:val="19"/>
        <w:lang w:val="fr-CA"/>
      </w:rPr>
      <w:t>Documentary Organization of Canada | Association des documentaristes du Canada</w:t>
    </w:r>
  </w:p>
  <w:p w14:paraId="385C0CB8" w14:textId="77777777" w:rsidR="00096DC1" w:rsidRPr="0077588A" w:rsidRDefault="00E56931">
    <w:pPr>
      <w:pBdr>
        <w:top w:val="nil"/>
        <w:left w:val="nil"/>
        <w:bottom w:val="nil"/>
        <w:right w:val="nil"/>
        <w:between w:val="nil"/>
      </w:pBdr>
      <w:tabs>
        <w:tab w:val="center" w:pos="4680"/>
        <w:tab w:val="right" w:pos="9360"/>
      </w:tabs>
      <w:jc w:val="center"/>
      <w:rPr>
        <w:rFonts w:ascii="Garamond" w:eastAsia="Garamond" w:hAnsi="Garamond" w:cs="Garamond"/>
        <w:color w:val="000000"/>
        <w:sz w:val="20"/>
        <w:szCs w:val="20"/>
        <w:lang w:val="fr-CA"/>
      </w:rPr>
    </w:pPr>
    <w:r w:rsidRPr="0077588A">
      <w:rPr>
        <w:rFonts w:ascii="Garamond" w:eastAsia="Garamond" w:hAnsi="Garamond" w:cs="Garamond"/>
        <w:color w:val="A7A7A7"/>
        <w:sz w:val="19"/>
        <w:szCs w:val="19"/>
        <w:lang w:val="fr-CA"/>
      </w:rPr>
      <w:t>info@docorg.ca | www.docorg.ca</w:t>
    </w:r>
  </w:p>
  <w:p w14:paraId="3E60CB02" w14:textId="77777777" w:rsidR="00096DC1" w:rsidRDefault="00E5693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9016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258CF3D" w14:textId="77777777" w:rsidR="00096DC1" w:rsidRDefault="00096DC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73ED" w14:textId="77777777" w:rsidR="0020207F" w:rsidRDefault="0020207F">
      <w:r>
        <w:separator/>
      </w:r>
    </w:p>
  </w:footnote>
  <w:footnote w:type="continuationSeparator" w:id="0">
    <w:p w14:paraId="62F2B4B7" w14:textId="77777777" w:rsidR="0020207F" w:rsidRDefault="0020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96E" w14:textId="77777777" w:rsidR="00096DC1" w:rsidRDefault="00096DC1">
    <w:pPr>
      <w:pBdr>
        <w:top w:val="nil"/>
        <w:left w:val="nil"/>
        <w:bottom w:val="nil"/>
        <w:right w:val="nil"/>
        <w:between w:val="nil"/>
      </w:pBdr>
      <w:tabs>
        <w:tab w:val="right" w:pos="9270"/>
      </w:tabs>
      <w:jc w:val="right"/>
      <w:rPr>
        <w:rFonts w:ascii="Avenir" w:eastAsia="Avenir" w:hAnsi="Avenir" w:cs="Aveni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7DB5"/>
    <w:multiLevelType w:val="multilevel"/>
    <w:tmpl w:val="A2505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8B732B"/>
    <w:multiLevelType w:val="hybridMultilevel"/>
    <w:tmpl w:val="92A6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C1"/>
    <w:rsid w:val="00041C66"/>
    <w:rsid w:val="00052AB6"/>
    <w:rsid w:val="00096DC1"/>
    <w:rsid w:val="000A01C3"/>
    <w:rsid w:val="00107668"/>
    <w:rsid w:val="001D1CE8"/>
    <w:rsid w:val="001F1A0C"/>
    <w:rsid w:val="001F68C2"/>
    <w:rsid w:val="0020207F"/>
    <w:rsid w:val="002E58E0"/>
    <w:rsid w:val="003931A5"/>
    <w:rsid w:val="004330BB"/>
    <w:rsid w:val="00565454"/>
    <w:rsid w:val="00690163"/>
    <w:rsid w:val="007376FA"/>
    <w:rsid w:val="0077588A"/>
    <w:rsid w:val="00796F34"/>
    <w:rsid w:val="007E70F7"/>
    <w:rsid w:val="0080478D"/>
    <w:rsid w:val="00823BC1"/>
    <w:rsid w:val="00936A8C"/>
    <w:rsid w:val="00937690"/>
    <w:rsid w:val="009B536D"/>
    <w:rsid w:val="00A76D5A"/>
    <w:rsid w:val="00A92946"/>
    <w:rsid w:val="00A93FAE"/>
    <w:rsid w:val="00AF1CCA"/>
    <w:rsid w:val="00B769F3"/>
    <w:rsid w:val="00E56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D1E"/>
  <w15:docId w15:val="{E15A147C-E456-8143-9E57-CD5F95AD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07668"/>
    <w:rPr>
      <w:sz w:val="16"/>
      <w:szCs w:val="16"/>
    </w:rPr>
  </w:style>
  <w:style w:type="paragraph" w:styleId="CommentText">
    <w:name w:val="annotation text"/>
    <w:basedOn w:val="Normal"/>
    <w:link w:val="CommentTextChar"/>
    <w:uiPriority w:val="99"/>
    <w:semiHidden/>
    <w:unhideWhenUsed/>
    <w:rsid w:val="00107668"/>
    <w:rPr>
      <w:sz w:val="20"/>
      <w:szCs w:val="20"/>
    </w:rPr>
  </w:style>
  <w:style w:type="character" w:customStyle="1" w:styleId="CommentTextChar">
    <w:name w:val="Comment Text Char"/>
    <w:basedOn w:val="DefaultParagraphFont"/>
    <w:link w:val="CommentText"/>
    <w:uiPriority w:val="99"/>
    <w:semiHidden/>
    <w:rsid w:val="00107668"/>
    <w:rPr>
      <w:sz w:val="20"/>
      <w:szCs w:val="20"/>
    </w:rPr>
  </w:style>
  <w:style w:type="paragraph" w:styleId="CommentSubject">
    <w:name w:val="annotation subject"/>
    <w:basedOn w:val="CommentText"/>
    <w:next w:val="CommentText"/>
    <w:link w:val="CommentSubjectChar"/>
    <w:uiPriority w:val="99"/>
    <w:semiHidden/>
    <w:unhideWhenUsed/>
    <w:rsid w:val="00107668"/>
    <w:rPr>
      <w:b/>
      <w:bCs/>
    </w:rPr>
  </w:style>
  <w:style w:type="character" w:customStyle="1" w:styleId="CommentSubjectChar">
    <w:name w:val="Comment Subject Char"/>
    <w:basedOn w:val="CommentTextChar"/>
    <w:link w:val="CommentSubject"/>
    <w:uiPriority w:val="99"/>
    <w:semiHidden/>
    <w:rsid w:val="00107668"/>
    <w:rPr>
      <w:b/>
      <w:bCs/>
      <w:sz w:val="20"/>
      <w:szCs w:val="20"/>
    </w:rPr>
  </w:style>
  <w:style w:type="paragraph" w:styleId="BalloonText">
    <w:name w:val="Balloon Text"/>
    <w:basedOn w:val="Normal"/>
    <w:link w:val="BalloonTextChar"/>
    <w:uiPriority w:val="99"/>
    <w:semiHidden/>
    <w:unhideWhenUsed/>
    <w:rsid w:val="00107668"/>
    <w:rPr>
      <w:sz w:val="18"/>
      <w:szCs w:val="18"/>
    </w:rPr>
  </w:style>
  <w:style w:type="character" w:customStyle="1" w:styleId="BalloonTextChar">
    <w:name w:val="Balloon Text Char"/>
    <w:basedOn w:val="DefaultParagraphFont"/>
    <w:link w:val="BalloonText"/>
    <w:uiPriority w:val="99"/>
    <w:semiHidden/>
    <w:rsid w:val="00107668"/>
    <w:rPr>
      <w:sz w:val="18"/>
      <w:szCs w:val="18"/>
    </w:rPr>
  </w:style>
  <w:style w:type="paragraph" w:styleId="ListParagraph">
    <w:name w:val="List Paragraph"/>
    <w:basedOn w:val="Normal"/>
    <w:uiPriority w:val="34"/>
    <w:qFormat/>
    <w:rsid w:val="007376FA"/>
    <w:pPr>
      <w:ind w:left="720"/>
      <w:contextualSpacing/>
    </w:pPr>
  </w:style>
  <w:style w:type="character" w:styleId="Hyperlink">
    <w:name w:val="Hyperlink"/>
    <w:basedOn w:val="DefaultParagraphFont"/>
    <w:uiPriority w:val="99"/>
    <w:unhideWhenUsed/>
    <w:rsid w:val="007E70F7"/>
    <w:rPr>
      <w:color w:val="0000FF" w:themeColor="hyperlink"/>
      <w:u w:val="single"/>
    </w:rPr>
  </w:style>
  <w:style w:type="character" w:styleId="UnresolvedMention">
    <w:name w:val="Unresolved Mention"/>
    <w:basedOn w:val="DefaultParagraphFont"/>
    <w:uiPriority w:val="99"/>
    <w:semiHidden/>
    <w:unhideWhenUsed/>
    <w:rsid w:val="007E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261">
      <w:bodyDiv w:val="1"/>
      <w:marLeft w:val="0"/>
      <w:marRight w:val="0"/>
      <w:marTop w:val="0"/>
      <w:marBottom w:val="0"/>
      <w:divBdr>
        <w:top w:val="none" w:sz="0" w:space="0" w:color="auto"/>
        <w:left w:val="none" w:sz="0" w:space="0" w:color="auto"/>
        <w:bottom w:val="none" w:sz="0" w:space="0" w:color="auto"/>
        <w:right w:val="none" w:sz="0" w:space="0" w:color="auto"/>
      </w:divBdr>
      <w:divsChild>
        <w:div w:id="910237888">
          <w:marLeft w:val="0"/>
          <w:marRight w:val="0"/>
          <w:marTop w:val="0"/>
          <w:marBottom w:val="0"/>
          <w:divBdr>
            <w:top w:val="none" w:sz="0" w:space="0" w:color="auto"/>
            <w:left w:val="none" w:sz="0" w:space="0" w:color="auto"/>
            <w:bottom w:val="none" w:sz="0" w:space="0" w:color="auto"/>
            <w:right w:val="none" w:sz="0" w:space="0" w:color="auto"/>
          </w:divBdr>
        </w:div>
        <w:div w:id="1929581283">
          <w:marLeft w:val="0"/>
          <w:marRight w:val="0"/>
          <w:marTop w:val="0"/>
          <w:marBottom w:val="0"/>
          <w:divBdr>
            <w:top w:val="none" w:sz="0" w:space="0" w:color="auto"/>
            <w:left w:val="none" w:sz="0" w:space="0" w:color="auto"/>
            <w:bottom w:val="none" w:sz="0" w:space="0" w:color="auto"/>
            <w:right w:val="none" w:sz="0" w:space="0" w:color="auto"/>
          </w:divBdr>
        </w:div>
        <w:div w:id="357586050">
          <w:marLeft w:val="0"/>
          <w:marRight w:val="0"/>
          <w:marTop w:val="0"/>
          <w:marBottom w:val="0"/>
          <w:divBdr>
            <w:top w:val="none" w:sz="0" w:space="0" w:color="auto"/>
            <w:left w:val="none" w:sz="0" w:space="0" w:color="auto"/>
            <w:bottom w:val="none" w:sz="0" w:space="0" w:color="auto"/>
            <w:right w:val="none" w:sz="0" w:space="0" w:color="auto"/>
          </w:divBdr>
        </w:div>
      </w:divsChild>
    </w:div>
    <w:div w:id="601496387">
      <w:bodyDiv w:val="1"/>
      <w:marLeft w:val="0"/>
      <w:marRight w:val="0"/>
      <w:marTop w:val="0"/>
      <w:marBottom w:val="0"/>
      <w:divBdr>
        <w:top w:val="none" w:sz="0" w:space="0" w:color="auto"/>
        <w:left w:val="none" w:sz="0" w:space="0" w:color="auto"/>
        <w:bottom w:val="none" w:sz="0" w:space="0" w:color="auto"/>
        <w:right w:val="none" w:sz="0" w:space="0" w:color="auto"/>
      </w:divBdr>
    </w:div>
    <w:div w:id="821891242">
      <w:bodyDiv w:val="1"/>
      <w:marLeft w:val="0"/>
      <w:marRight w:val="0"/>
      <w:marTop w:val="0"/>
      <w:marBottom w:val="0"/>
      <w:divBdr>
        <w:top w:val="none" w:sz="0" w:space="0" w:color="auto"/>
        <w:left w:val="none" w:sz="0" w:space="0" w:color="auto"/>
        <w:bottom w:val="none" w:sz="0" w:space="0" w:color="auto"/>
        <w:right w:val="none" w:sz="0" w:space="0" w:color="auto"/>
      </w:divBdr>
    </w:div>
    <w:div w:id="831723914">
      <w:bodyDiv w:val="1"/>
      <w:marLeft w:val="0"/>
      <w:marRight w:val="0"/>
      <w:marTop w:val="0"/>
      <w:marBottom w:val="0"/>
      <w:divBdr>
        <w:top w:val="none" w:sz="0" w:space="0" w:color="auto"/>
        <w:left w:val="none" w:sz="0" w:space="0" w:color="auto"/>
        <w:bottom w:val="none" w:sz="0" w:space="0" w:color="auto"/>
        <w:right w:val="none" w:sz="0" w:space="0" w:color="auto"/>
      </w:divBdr>
    </w:div>
    <w:div w:id="981693422">
      <w:bodyDiv w:val="1"/>
      <w:marLeft w:val="0"/>
      <w:marRight w:val="0"/>
      <w:marTop w:val="0"/>
      <w:marBottom w:val="0"/>
      <w:divBdr>
        <w:top w:val="none" w:sz="0" w:space="0" w:color="auto"/>
        <w:left w:val="none" w:sz="0" w:space="0" w:color="auto"/>
        <w:bottom w:val="none" w:sz="0" w:space="0" w:color="auto"/>
        <w:right w:val="none" w:sz="0" w:space="0" w:color="auto"/>
      </w:divBdr>
      <w:divsChild>
        <w:div w:id="431826384">
          <w:marLeft w:val="0"/>
          <w:marRight w:val="0"/>
          <w:marTop w:val="0"/>
          <w:marBottom w:val="0"/>
          <w:divBdr>
            <w:top w:val="none" w:sz="0" w:space="0" w:color="auto"/>
            <w:left w:val="none" w:sz="0" w:space="0" w:color="auto"/>
            <w:bottom w:val="none" w:sz="0" w:space="0" w:color="auto"/>
            <w:right w:val="none" w:sz="0" w:space="0" w:color="auto"/>
          </w:divBdr>
        </w:div>
        <w:div w:id="1074276463">
          <w:marLeft w:val="0"/>
          <w:marRight w:val="0"/>
          <w:marTop w:val="0"/>
          <w:marBottom w:val="0"/>
          <w:divBdr>
            <w:top w:val="none" w:sz="0" w:space="0" w:color="auto"/>
            <w:left w:val="none" w:sz="0" w:space="0" w:color="auto"/>
            <w:bottom w:val="none" w:sz="0" w:space="0" w:color="auto"/>
            <w:right w:val="none" w:sz="0" w:space="0" w:color="auto"/>
          </w:divBdr>
        </w:div>
        <w:div w:id="1020205660">
          <w:marLeft w:val="0"/>
          <w:marRight w:val="0"/>
          <w:marTop w:val="0"/>
          <w:marBottom w:val="0"/>
          <w:divBdr>
            <w:top w:val="none" w:sz="0" w:space="0" w:color="auto"/>
            <w:left w:val="none" w:sz="0" w:space="0" w:color="auto"/>
            <w:bottom w:val="none" w:sz="0" w:space="0" w:color="auto"/>
            <w:right w:val="none" w:sz="0" w:space="0" w:color="auto"/>
          </w:divBdr>
        </w:div>
      </w:divsChild>
    </w:div>
    <w:div w:id="1146976093">
      <w:bodyDiv w:val="1"/>
      <w:marLeft w:val="0"/>
      <w:marRight w:val="0"/>
      <w:marTop w:val="0"/>
      <w:marBottom w:val="0"/>
      <w:divBdr>
        <w:top w:val="none" w:sz="0" w:space="0" w:color="auto"/>
        <w:left w:val="none" w:sz="0" w:space="0" w:color="auto"/>
        <w:bottom w:val="none" w:sz="0" w:space="0" w:color="auto"/>
        <w:right w:val="none" w:sz="0" w:space="0" w:color="auto"/>
      </w:divBdr>
    </w:div>
    <w:div w:id="1270821590">
      <w:bodyDiv w:val="1"/>
      <w:marLeft w:val="0"/>
      <w:marRight w:val="0"/>
      <w:marTop w:val="0"/>
      <w:marBottom w:val="0"/>
      <w:divBdr>
        <w:top w:val="none" w:sz="0" w:space="0" w:color="auto"/>
        <w:left w:val="none" w:sz="0" w:space="0" w:color="auto"/>
        <w:bottom w:val="none" w:sz="0" w:space="0" w:color="auto"/>
        <w:right w:val="none" w:sz="0" w:space="0" w:color="auto"/>
      </w:divBdr>
      <w:divsChild>
        <w:div w:id="1281063964">
          <w:marLeft w:val="0"/>
          <w:marRight w:val="0"/>
          <w:marTop w:val="0"/>
          <w:marBottom w:val="0"/>
          <w:divBdr>
            <w:top w:val="none" w:sz="0" w:space="0" w:color="auto"/>
            <w:left w:val="none" w:sz="0" w:space="0" w:color="auto"/>
            <w:bottom w:val="none" w:sz="0" w:space="0" w:color="auto"/>
            <w:right w:val="none" w:sz="0" w:space="0" w:color="auto"/>
          </w:divBdr>
        </w:div>
        <w:div w:id="1673601699">
          <w:marLeft w:val="0"/>
          <w:marRight w:val="0"/>
          <w:marTop w:val="0"/>
          <w:marBottom w:val="0"/>
          <w:divBdr>
            <w:top w:val="none" w:sz="0" w:space="0" w:color="auto"/>
            <w:left w:val="none" w:sz="0" w:space="0" w:color="auto"/>
            <w:bottom w:val="none" w:sz="0" w:space="0" w:color="auto"/>
            <w:right w:val="none" w:sz="0" w:space="0" w:color="auto"/>
          </w:divBdr>
        </w:div>
        <w:div w:id="1448351524">
          <w:marLeft w:val="0"/>
          <w:marRight w:val="0"/>
          <w:marTop w:val="0"/>
          <w:marBottom w:val="0"/>
          <w:divBdr>
            <w:top w:val="none" w:sz="0" w:space="0" w:color="auto"/>
            <w:left w:val="none" w:sz="0" w:space="0" w:color="auto"/>
            <w:bottom w:val="none" w:sz="0" w:space="0" w:color="auto"/>
            <w:right w:val="none" w:sz="0" w:space="0" w:color="auto"/>
          </w:divBdr>
        </w:div>
      </w:divsChild>
    </w:div>
    <w:div w:id="1334607343">
      <w:bodyDiv w:val="1"/>
      <w:marLeft w:val="0"/>
      <w:marRight w:val="0"/>
      <w:marTop w:val="0"/>
      <w:marBottom w:val="0"/>
      <w:divBdr>
        <w:top w:val="none" w:sz="0" w:space="0" w:color="auto"/>
        <w:left w:val="none" w:sz="0" w:space="0" w:color="auto"/>
        <w:bottom w:val="none" w:sz="0" w:space="0" w:color="auto"/>
        <w:right w:val="none" w:sz="0" w:space="0" w:color="auto"/>
      </w:divBdr>
    </w:div>
    <w:div w:id="188995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prnh2mwo3.exactdn.com/wp-content/uploads/2021/04/4-Appels_a_l-Action_Frenc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wsinteractives.cbc.ca/longform-single/beyond-94?&amp;cta=77" TargetMode="External"/><Relationship Id="rId4" Type="http://schemas.openxmlformats.org/officeDocument/2006/relationships/webSettings" Target="webSettings.xml"/><Relationship Id="rId9" Type="http://schemas.openxmlformats.org/officeDocument/2006/relationships/hyperlink" Target="https://ehprnh2mwo3.exactdn.com/wp-content/uploads/2021/04/4-Appels_a_l-Action_Frenc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2020-07-10T13:47:00Z</cp:lastPrinted>
  <dcterms:created xsi:type="dcterms:W3CDTF">2021-09-29T18:57:00Z</dcterms:created>
  <dcterms:modified xsi:type="dcterms:W3CDTF">2021-09-29T20:16:00Z</dcterms:modified>
</cp:coreProperties>
</file>